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737F4" w14:textId="256CDE5B" w:rsidR="00E07059" w:rsidRPr="00942DEB" w:rsidRDefault="005650C6" w:rsidP="008E437B">
      <w:pPr>
        <w:jc w:val="center"/>
        <w:rPr>
          <w:rFonts w:ascii="Times New Roman" w:hAnsi="Times New Roman" w:cs="Times New Roman"/>
          <w:sz w:val="26"/>
          <w:szCs w:val="26"/>
        </w:rPr>
      </w:pPr>
      <w:r>
        <w:rPr>
          <w:rFonts w:ascii="Times New Roman" w:hAnsi="Times New Roman" w:cs="Times New Roman"/>
          <w:b/>
          <w:bCs/>
          <w:sz w:val="26"/>
          <w:szCs w:val="26"/>
          <w:u w:val="single"/>
        </w:rPr>
        <w:t>L</w:t>
      </w:r>
      <w:r w:rsidR="00431A64">
        <w:rPr>
          <w:rFonts w:ascii="Times New Roman" w:hAnsi="Times New Roman" w:cs="Times New Roman"/>
          <w:b/>
          <w:bCs/>
          <w:sz w:val="26"/>
          <w:szCs w:val="26"/>
          <w:u w:val="single"/>
        </w:rPr>
        <w:t xml:space="preserve">egal </w:t>
      </w:r>
      <w:r>
        <w:rPr>
          <w:rFonts w:ascii="Times New Roman" w:hAnsi="Times New Roman" w:cs="Times New Roman"/>
          <w:b/>
          <w:bCs/>
          <w:sz w:val="26"/>
          <w:szCs w:val="26"/>
          <w:u w:val="single"/>
        </w:rPr>
        <w:t xml:space="preserve">principles </w:t>
      </w:r>
      <w:r w:rsidR="00E72D7D">
        <w:rPr>
          <w:rFonts w:ascii="Times New Roman" w:hAnsi="Times New Roman" w:cs="Times New Roman"/>
          <w:b/>
          <w:bCs/>
          <w:sz w:val="26"/>
          <w:szCs w:val="26"/>
          <w:u w:val="single"/>
        </w:rPr>
        <w:t>surrounding</w:t>
      </w:r>
      <w:r>
        <w:rPr>
          <w:rFonts w:ascii="Times New Roman" w:hAnsi="Times New Roman" w:cs="Times New Roman"/>
          <w:b/>
          <w:bCs/>
          <w:sz w:val="26"/>
          <w:szCs w:val="26"/>
          <w:u w:val="single"/>
        </w:rPr>
        <w:t xml:space="preserve"> </w:t>
      </w:r>
      <w:r w:rsidR="008E437B" w:rsidRPr="008E437B">
        <w:rPr>
          <w:rFonts w:ascii="Times New Roman" w:hAnsi="Times New Roman" w:cs="Times New Roman"/>
          <w:b/>
          <w:bCs/>
          <w:sz w:val="26"/>
          <w:szCs w:val="26"/>
          <w:u w:val="single"/>
        </w:rPr>
        <w:t>service of notice on a non-existing entity</w:t>
      </w:r>
    </w:p>
    <w:p w14:paraId="669DBB31" w14:textId="77777777" w:rsidR="008D3B8F" w:rsidRDefault="008D3B8F" w:rsidP="008D3B8F">
      <w:pPr>
        <w:spacing w:after="0" w:line="240" w:lineRule="auto"/>
        <w:jc w:val="right"/>
        <w:rPr>
          <w:rFonts w:ascii="Times New Roman" w:hAnsi="Times New Roman" w:cs="Times New Roman"/>
          <w:i/>
          <w:iCs/>
          <w:sz w:val="26"/>
          <w:szCs w:val="26"/>
        </w:rPr>
      </w:pPr>
    </w:p>
    <w:p w14:paraId="38621A1E" w14:textId="5B83B403" w:rsidR="00E72D7D" w:rsidRDefault="00E72D7D" w:rsidP="008D3B8F">
      <w:pPr>
        <w:spacing w:after="0" w:line="240" w:lineRule="auto"/>
        <w:jc w:val="right"/>
        <w:rPr>
          <w:rFonts w:ascii="Times New Roman" w:hAnsi="Times New Roman" w:cs="Times New Roman"/>
          <w:i/>
          <w:iCs/>
          <w:sz w:val="26"/>
          <w:szCs w:val="26"/>
        </w:rPr>
      </w:pPr>
      <w:r w:rsidRPr="00E72D7D">
        <w:rPr>
          <w:rFonts w:ascii="Times New Roman" w:hAnsi="Times New Roman" w:cs="Times New Roman"/>
          <w:i/>
          <w:iCs/>
          <w:sz w:val="26"/>
          <w:szCs w:val="26"/>
        </w:rPr>
        <w:t>Arjun Gupta</w:t>
      </w:r>
    </w:p>
    <w:p w14:paraId="281DB346" w14:textId="36491BC4" w:rsidR="00E72D7D" w:rsidRDefault="00E72D7D" w:rsidP="008D3B8F">
      <w:pPr>
        <w:spacing w:after="0" w:line="240" w:lineRule="auto"/>
        <w:jc w:val="right"/>
        <w:rPr>
          <w:rFonts w:ascii="Times New Roman" w:hAnsi="Times New Roman" w:cs="Times New Roman"/>
          <w:i/>
          <w:iCs/>
          <w:sz w:val="26"/>
          <w:szCs w:val="26"/>
        </w:rPr>
      </w:pPr>
      <w:r>
        <w:rPr>
          <w:rFonts w:ascii="Times New Roman" w:hAnsi="Times New Roman" w:cs="Times New Roman"/>
          <w:i/>
          <w:iCs/>
          <w:sz w:val="26"/>
          <w:szCs w:val="26"/>
        </w:rPr>
        <w:t>Advocate, Bombay High Court</w:t>
      </w:r>
    </w:p>
    <w:p w14:paraId="1959D255" w14:textId="0206A76D" w:rsidR="00E26204" w:rsidRDefault="00E26204" w:rsidP="008D3B8F">
      <w:pPr>
        <w:spacing w:after="0" w:line="240" w:lineRule="auto"/>
        <w:jc w:val="right"/>
        <w:rPr>
          <w:rFonts w:ascii="Times New Roman" w:hAnsi="Times New Roman" w:cs="Times New Roman"/>
          <w:i/>
          <w:iCs/>
          <w:sz w:val="26"/>
          <w:szCs w:val="26"/>
        </w:rPr>
      </w:pPr>
      <w:r>
        <w:rPr>
          <w:rFonts w:ascii="Times New Roman" w:hAnsi="Times New Roman" w:cs="Times New Roman"/>
          <w:i/>
          <w:iCs/>
          <w:sz w:val="26"/>
          <w:szCs w:val="26"/>
        </w:rPr>
        <w:t xml:space="preserve">Senior standing counsel, </w:t>
      </w:r>
      <w:r w:rsidR="008D3B8F">
        <w:rPr>
          <w:rFonts w:ascii="Times New Roman" w:hAnsi="Times New Roman" w:cs="Times New Roman"/>
          <w:i/>
          <w:iCs/>
          <w:sz w:val="26"/>
          <w:szCs w:val="26"/>
        </w:rPr>
        <w:t>Income-tax Department</w:t>
      </w:r>
    </w:p>
    <w:p w14:paraId="7E84D8C2" w14:textId="77777777" w:rsidR="008D3B8F" w:rsidRDefault="008D3B8F" w:rsidP="008D3B8F">
      <w:pPr>
        <w:spacing w:after="0" w:line="240" w:lineRule="auto"/>
        <w:jc w:val="right"/>
        <w:rPr>
          <w:rFonts w:ascii="Times New Roman" w:hAnsi="Times New Roman" w:cs="Times New Roman"/>
          <w:i/>
          <w:iCs/>
          <w:sz w:val="26"/>
          <w:szCs w:val="26"/>
        </w:rPr>
      </w:pPr>
    </w:p>
    <w:p w14:paraId="4A14C4A1" w14:textId="6A39E049" w:rsidR="008D3B8F" w:rsidRDefault="00942DEB" w:rsidP="00942DEB">
      <w:pPr>
        <w:spacing w:after="0" w:line="240" w:lineRule="auto"/>
        <w:jc w:val="center"/>
        <w:rPr>
          <w:rFonts w:ascii="Times New Roman" w:hAnsi="Times New Roman" w:cs="Times New Roman"/>
          <w:b/>
          <w:bCs/>
          <w:sz w:val="26"/>
          <w:szCs w:val="26"/>
        </w:rPr>
      </w:pPr>
      <w:r w:rsidRPr="00942DEB">
        <w:rPr>
          <w:rFonts w:ascii="Times New Roman" w:hAnsi="Times New Roman" w:cs="Times New Roman"/>
          <w:b/>
          <w:bCs/>
          <w:sz w:val="26"/>
          <w:szCs w:val="26"/>
        </w:rPr>
        <w:t>Introduction</w:t>
      </w:r>
    </w:p>
    <w:p w14:paraId="44A279BB" w14:textId="77777777" w:rsidR="00942DEB" w:rsidRDefault="00942DEB" w:rsidP="00942DEB">
      <w:pPr>
        <w:spacing w:after="0" w:line="240" w:lineRule="auto"/>
        <w:jc w:val="center"/>
        <w:rPr>
          <w:rFonts w:ascii="Times New Roman" w:hAnsi="Times New Roman" w:cs="Times New Roman"/>
          <w:b/>
          <w:bCs/>
          <w:sz w:val="26"/>
          <w:szCs w:val="26"/>
        </w:rPr>
      </w:pPr>
    </w:p>
    <w:p w14:paraId="262C16D0" w14:textId="6054EE26" w:rsidR="00942DEB" w:rsidRDefault="00C77DE1" w:rsidP="002F3F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non-existing entity i</w:t>
      </w:r>
      <w:r w:rsidR="00EF3D0F">
        <w:rPr>
          <w:rFonts w:ascii="Times New Roman" w:hAnsi="Times New Roman" w:cs="Times New Roman"/>
          <w:sz w:val="26"/>
          <w:szCs w:val="26"/>
        </w:rPr>
        <w:t>n the context of income-tax law is one which has ceased to exist in the eyes of law</w:t>
      </w:r>
      <w:r w:rsidR="002F3F30">
        <w:rPr>
          <w:rStyle w:val="FootnoteReference"/>
          <w:rFonts w:ascii="Times New Roman" w:hAnsi="Times New Roman" w:cs="Times New Roman"/>
          <w:sz w:val="26"/>
          <w:szCs w:val="26"/>
        </w:rPr>
        <w:footnoteReference w:id="1"/>
      </w:r>
      <w:r w:rsidR="002E39E9">
        <w:rPr>
          <w:rFonts w:ascii="Times New Roman" w:hAnsi="Times New Roman" w:cs="Times New Roman"/>
          <w:sz w:val="26"/>
          <w:szCs w:val="26"/>
        </w:rPr>
        <w:t>.</w:t>
      </w:r>
      <w:r w:rsidR="00EF3D0F">
        <w:rPr>
          <w:rFonts w:ascii="Times New Roman" w:hAnsi="Times New Roman" w:cs="Times New Roman"/>
          <w:sz w:val="26"/>
          <w:szCs w:val="26"/>
        </w:rPr>
        <w:t xml:space="preserve"> </w:t>
      </w:r>
      <w:r w:rsidR="00D402F5">
        <w:rPr>
          <w:rFonts w:ascii="Times New Roman" w:hAnsi="Times New Roman" w:cs="Times New Roman"/>
          <w:sz w:val="26"/>
          <w:szCs w:val="26"/>
        </w:rPr>
        <w:t>It is one which a</w:t>
      </w:r>
      <w:r w:rsidR="002C7356">
        <w:rPr>
          <w:rFonts w:ascii="Times New Roman" w:hAnsi="Times New Roman" w:cs="Times New Roman"/>
          <w:sz w:val="26"/>
          <w:szCs w:val="26"/>
        </w:rPr>
        <w:t>lthough once</w:t>
      </w:r>
      <w:r w:rsidR="00E854D8">
        <w:rPr>
          <w:rFonts w:ascii="Times New Roman" w:hAnsi="Times New Roman" w:cs="Times New Roman"/>
          <w:sz w:val="26"/>
          <w:szCs w:val="26"/>
        </w:rPr>
        <w:t xml:space="preserve"> was</w:t>
      </w:r>
      <w:r w:rsidR="002C7356">
        <w:rPr>
          <w:rFonts w:ascii="Times New Roman" w:hAnsi="Times New Roman" w:cs="Times New Roman"/>
          <w:sz w:val="26"/>
          <w:szCs w:val="26"/>
        </w:rPr>
        <w:t xml:space="preserve"> fully operational, it is deemed non-existent having </w:t>
      </w:r>
      <w:r w:rsidR="00673264">
        <w:rPr>
          <w:rFonts w:ascii="Times New Roman" w:hAnsi="Times New Roman" w:cs="Times New Roman"/>
          <w:sz w:val="26"/>
          <w:szCs w:val="26"/>
        </w:rPr>
        <w:t>been either amalgamated with another entity, or in the case of individuals, whe</w:t>
      </w:r>
      <w:r w:rsidR="002F3F30">
        <w:rPr>
          <w:rFonts w:ascii="Times New Roman" w:hAnsi="Times New Roman" w:cs="Times New Roman"/>
          <w:sz w:val="26"/>
          <w:szCs w:val="26"/>
        </w:rPr>
        <w:t>re</w:t>
      </w:r>
      <w:r w:rsidR="00673264">
        <w:rPr>
          <w:rFonts w:ascii="Times New Roman" w:hAnsi="Times New Roman" w:cs="Times New Roman"/>
          <w:sz w:val="26"/>
          <w:szCs w:val="26"/>
        </w:rPr>
        <w:t xml:space="preserve"> the individual has </w:t>
      </w:r>
      <w:r w:rsidR="00E854D8">
        <w:rPr>
          <w:rFonts w:ascii="Times New Roman" w:hAnsi="Times New Roman" w:cs="Times New Roman"/>
          <w:sz w:val="26"/>
          <w:szCs w:val="26"/>
        </w:rPr>
        <w:t xml:space="preserve">died. The treatment given to such non-existing persons </w:t>
      </w:r>
      <w:r w:rsidR="00BD283B">
        <w:rPr>
          <w:rFonts w:ascii="Times New Roman" w:hAnsi="Times New Roman" w:cs="Times New Roman"/>
          <w:sz w:val="26"/>
          <w:szCs w:val="26"/>
        </w:rPr>
        <w:t xml:space="preserve">insofar as their tax assessments are concerned </w:t>
      </w:r>
      <w:r w:rsidR="005E3B46">
        <w:rPr>
          <w:rFonts w:ascii="Times New Roman" w:hAnsi="Times New Roman" w:cs="Times New Roman"/>
          <w:sz w:val="26"/>
          <w:szCs w:val="26"/>
        </w:rPr>
        <w:t>depends</w:t>
      </w:r>
      <w:r w:rsidR="00BD283B">
        <w:rPr>
          <w:rFonts w:ascii="Times New Roman" w:hAnsi="Times New Roman" w:cs="Times New Roman"/>
          <w:sz w:val="26"/>
          <w:szCs w:val="26"/>
        </w:rPr>
        <w:t xml:space="preserve"> on the facts and circumstances of </w:t>
      </w:r>
      <w:r w:rsidR="005E3B46">
        <w:rPr>
          <w:rFonts w:ascii="Times New Roman" w:hAnsi="Times New Roman" w:cs="Times New Roman"/>
          <w:sz w:val="26"/>
          <w:szCs w:val="26"/>
        </w:rPr>
        <w:t xml:space="preserve">each </w:t>
      </w:r>
      <w:r w:rsidR="00BD283B">
        <w:rPr>
          <w:rFonts w:ascii="Times New Roman" w:hAnsi="Times New Roman" w:cs="Times New Roman"/>
          <w:sz w:val="26"/>
          <w:szCs w:val="26"/>
        </w:rPr>
        <w:t>case</w:t>
      </w:r>
      <w:r w:rsidR="005E3B46">
        <w:rPr>
          <w:rFonts w:ascii="Times New Roman" w:hAnsi="Times New Roman" w:cs="Times New Roman"/>
          <w:sz w:val="26"/>
          <w:szCs w:val="26"/>
        </w:rPr>
        <w:t xml:space="preserve"> which is elaborated in the ensuing parts of this article.</w:t>
      </w:r>
    </w:p>
    <w:p w14:paraId="54B11428" w14:textId="77777777" w:rsidR="0053096B" w:rsidRDefault="0053096B" w:rsidP="00EF3D0F">
      <w:pPr>
        <w:spacing w:after="0" w:line="360" w:lineRule="auto"/>
        <w:rPr>
          <w:rFonts w:ascii="Times New Roman" w:hAnsi="Times New Roman" w:cs="Times New Roman"/>
          <w:sz w:val="26"/>
          <w:szCs w:val="26"/>
        </w:rPr>
      </w:pPr>
    </w:p>
    <w:p w14:paraId="6EBFDC2E" w14:textId="08680BC1" w:rsidR="0053096B" w:rsidRPr="00C77DE1" w:rsidRDefault="0053096B" w:rsidP="008845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Litigation in this area of law has arisen primarily in cases where the entity has amalgamated with another entity, and </w:t>
      </w:r>
      <w:r w:rsidR="00EA236D">
        <w:rPr>
          <w:rFonts w:ascii="Times New Roman" w:hAnsi="Times New Roman" w:cs="Times New Roman"/>
          <w:sz w:val="26"/>
          <w:szCs w:val="26"/>
        </w:rPr>
        <w:t>being the amalgamating company, any notice served upon it would be invalid and illegal in terms of law for the simple reason that the entity is not in existence on the date of service of the notice.</w:t>
      </w:r>
      <w:r w:rsidR="009A3953">
        <w:rPr>
          <w:rFonts w:ascii="Times New Roman" w:hAnsi="Times New Roman" w:cs="Times New Roman"/>
          <w:sz w:val="26"/>
          <w:szCs w:val="26"/>
        </w:rPr>
        <w:t xml:space="preserve"> The same applies to individuals.</w:t>
      </w:r>
      <w:r w:rsidR="00884528">
        <w:rPr>
          <w:rFonts w:ascii="Times New Roman" w:hAnsi="Times New Roman" w:cs="Times New Roman"/>
          <w:sz w:val="26"/>
          <w:szCs w:val="26"/>
        </w:rPr>
        <w:t xml:space="preserve"> Therefore, </w:t>
      </w:r>
      <w:r w:rsidR="00F433E1">
        <w:rPr>
          <w:rFonts w:ascii="Times New Roman" w:hAnsi="Times New Roman" w:cs="Times New Roman"/>
          <w:sz w:val="26"/>
          <w:szCs w:val="26"/>
        </w:rPr>
        <w:t>what is proposed is the quashing of all subsequent proceedings that have followed the issue of the notice, or in cases where there are no such proceedings, the notice itself.</w:t>
      </w:r>
      <w:r w:rsidR="005C34C1">
        <w:rPr>
          <w:rFonts w:ascii="Times New Roman" w:hAnsi="Times New Roman" w:cs="Times New Roman"/>
          <w:sz w:val="26"/>
          <w:szCs w:val="26"/>
        </w:rPr>
        <w:t xml:space="preserve"> Almost all the cases before the </w:t>
      </w:r>
      <w:r w:rsidR="0068670B">
        <w:rPr>
          <w:rFonts w:ascii="Times New Roman" w:hAnsi="Times New Roman" w:cs="Times New Roman"/>
          <w:sz w:val="26"/>
          <w:szCs w:val="26"/>
        </w:rPr>
        <w:t xml:space="preserve">High </w:t>
      </w:r>
      <w:r w:rsidR="005C34C1">
        <w:rPr>
          <w:rFonts w:ascii="Times New Roman" w:hAnsi="Times New Roman" w:cs="Times New Roman"/>
          <w:sz w:val="26"/>
          <w:szCs w:val="26"/>
        </w:rPr>
        <w:t xml:space="preserve">Courts </w:t>
      </w:r>
      <w:r w:rsidR="000641CF">
        <w:rPr>
          <w:rFonts w:ascii="Times New Roman" w:hAnsi="Times New Roman" w:cs="Times New Roman"/>
          <w:sz w:val="26"/>
          <w:szCs w:val="26"/>
        </w:rPr>
        <w:t xml:space="preserve">in this area of law relate </w:t>
      </w:r>
      <w:r w:rsidR="005C34C1">
        <w:rPr>
          <w:rFonts w:ascii="Times New Roman" w:hAnsi="Times New Roman" w:cs="Times New Roman"/>
          <w:sz w:val="26"/>
          <w:szCs w:val="26"/>
        </w:rPr>
        <w:t>to reassessment notices</w:t>
      </w:r>
      <w:r w:rsidR="000641CF">
        <w:rPr>
          <w:rFonts w:ascii="Times New Roman" w:hAnsi="Times New Roman" w:cs="Times New Roman"/>
          <w:sz w:val="26"/>
          <w:szCs w:val="26"/>
        </w:rPr>
        <w:t xml:space="preserve"> </w:t>
      </w:r>
      <w:r w:rsidR="00617FCB">
        <w:rPr>
          <w:rFonts w:ascii="Times New Roman" w:hAnsi="Times New Roman" w:cs="Times New Roman"/>
          <w:sz w:val="26"/>
          <w:szCs w:val="26"/>
        </w:rPr>
        <w:t xml:space="preserve">issued </w:t>
      </w:r>
      <w:r w:rsidR="000641CF">
        <w:rPr>
          <w:rFonts w:ascii="Times New Roman" w:hAnsi="Times New Roman" w:cs="Times New Roman"/>
          <w:sz w:val="26"/>
          <w:szCs w:val="26"/>
        </w:rPr>
        <w:t>under Section 148</w:t>
      </w:r>
      <w:r w:rsidR="00233EC8">
        <w:rPr>
          <w:rFonts w:ascii="Times New Roman" w:hAnsi="Times New Roman" w:cs="Times New Roman"/>
          <w:sz w:val="26"/>
          <w:szCs w:val="26"/>
        </w:rPr>
        <w:t xml:space="preserve"> </w:t>
      </w:r>
      <w:r w:rsidR="005C34C1">
        <w:rPr>
          <w:rFonts w:ascii="Times New Roman" w:hAnsi="Times New Roman" w:cs="Times New Roman"/>
          <w:sz w:val="26"/>
          <w:szCs w:val="26"/>
        </w:rPr>
        <w:t>upon the non-existing entity.</w:t>
      </w:r>
    </w:p>
    <w:p w14:paraId="3FA53966" w14:textId="77777777" w:rsidR="00942DEB" w:rsidRDefault="00942DEB" w:rsidP="00942DEB">
      <w:pPr>
        <w:spacing w:after="0" w:line="240" w:lineRule="auto"/>
        <w:jc w:val="center"/>
        <w:rPr>
          <w:rFonts w:ascii="Times New Roman" w:hAnsi="Times New Roman" w:cs="Times New Roman"/>
          <w:b/>
          <w:bCs/>
          <w:sz w:val="26"/>
          <w:szCs w:val="26"/>
        </w:rPr>
      </w:pPr>
    </w:p>
    <w:p w14:paraId="2CC36F07" w14:textId="77777777" w:rsidR="00E5578E" w:rsidRDefault="00E5578E" w:rsidP="00942DEB">
      <w:pPr>
        <w:spacing w:after="0" w:line="240" w:lineRule="auto"/>
        <w:jc w:val="center"/>
        <w:rPr>
          <w:rFonts w:ascii="Times New Roman" w:hAnsi="Times New Roman" w:cs="Times New Roman"/>
          <w:b/>
          <w:bCs/>
          <w:sz w:val="26"/>
          <w:szCs w:val="26"/>
        </w:rPr>
      </w:pPr>
    </w:p>
    <w:p w14:paraId="3A5028B6" w14:textId="77777777" w:rsidR="00E5578E" w:rsidRDefault="00E5578E" w:rsidP="00942DEB">
      <w:pPr>
        <w:spacing w:after="0" w:line="240" w:lineRule="auto"/>
        <w:jc w:val="center"/>
        <w:rPr>
          <w:rFonts w:ascii="Times New Roman" w:hAnsi="Times New Roman" w:cs="Times New Roman"/>
          <w:b/>
          <w:bCs/>
          <w:sz w:val="26"/>
          <w:szCs w:val="26"/>
        </w:rPr>
      </w:pPr>
    </w:p>
    <w:p w14:paraId="3B29BB70" w14:textId="77777777" w:rsidR="00E5578E" w:rsidRDefault="00E5578E" w:rsidP="00942DEB">
      <w:pPr>
        <w:spacing w:after="0" w:line="240" w:lineRule="auto"/>
        <w:jc w:val="center"/>
        <w:rPr>
          <w:rFonts w:ascii="Times New Roman" w:hAnsi="Times New Roman" w:cs="Times New Roman"/>
          <w:b/>
          <w:bCs/>
          <w:sz w:val="26"/>
          <w:szCs w:val="26"/>
        </w:rPr>
      </w:pPr>
    </w:p>
    <w:p w14:paraId="1F821F39" w14:textId="77777777" w:rsidR="00E5578E" w:rsidRDefault="00E5578E" w:rsidP="00942DEB">
      <w:pPr>
        <w:spacing w:after="0" w:line="240" w:lineRule="auto"/>
        <w:jc w:val="center"/>
        <w:rPr>
          <w:rFonts w:ascii="Times New Roman" w:hAnsi="Times New Roman" w:cs="Times New Roman"/>
          <w:b/>
          <w:bCs/>
          <w:sz w:val="26"/>
          <w:szCs w:val="26"/>
        </w:rPr>
      </w:pPr>
    </w:p>
    <w:p w14:paraId="08DBB070" w14:textId="77777777" w:rsidR="00E5578E" w:rsidRDefault="00E5578E" w:rsidP="00942DEB">
      <w:pPr>
        <w:spacing w:after="0" w:line="240" w:lineRule="auto"/>
        <w:jc w:val="center"/>
        <w:rPr>
          <w:rFonts w:ascii="Times New Roman" w:hAnsi="Times New Roman" w:cs="Times New Roman"/>
          <w:b/>
          <w:bCs/>
          <w:sz w:val="26"/>
          <w:szCs w:val="26"/>
        </w:rPr>
      </w:pPr>
    </w:p>
    <w:p w14:paraId="47D3BFB2" w14:textId="5DF48693" w:rsidR="00233EC8" w:rsidRDefault="00233EC8" w:rsidP="00E5578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Case Laws</w:t>
      </w:r>
    </w:p>
    <w:p w14:paraId="34F7FCE6" w14:textId="77777777" w:rsidR="00E5578E" w:rsidRDefault="00E5578E" w:rsidP="00942DEB">
      <w:pPr>
        <w:spacing w:after="0" w:line="240" w:lineRule="auto"/>
        <w:jc w:val="center"/>
        <w:rPr>
          <w:rFonts w:ascii="Times New Roman" w:hAnsi="Times New Roman" w:cs="Times New Roman"/>
          <w:b/>
          <w:bCs/>
          <w:sz w:val="26"/>
          <w:szCs w:val="26"/>
        </w:rPr>
      </w:pPr>
    </w:p>
    <w:p w14:paraId="4C352C2B" w14:textId="0012CC22" w:rsidR="00AB2512" w:rsidRDefault="00A93333" w:rsidP="00AB2512">
      <w:pPr>
        <w:pStyle w:val="ListParagraph"/>
        <w:numPr>
          <w:ilvl w:val="0"/>
          <w:numId w:val="2"/>
        </w:numPr>
        <w:spacing w:after="0" w:line="360" w:lineRule="auto"/>
        <w:jc w:val="both"/>
        <w:rPr>
          <w:rFonts w:ascii="Times New Roman" w:hAnsi="Times New Roman" w:cs="Times New Roman"/>
          <w:sz w:val="26"/>
          <w:szCs w:val="26"/>
        </w:rPr>
      </w:pPr>
      <w:r w:rsidRPr="00081E53">
        <w:rPr>
          <w:rFonts w:ascii="Times New Roman" w:hAnsi="Times New Roman" w:cs="Times New Roman"/>
          <w:sz w:val="26"/>
          <w:szCs w:val="26"/>
        </w:rPr>
        <w:t xml:space="preserve">In </w:t>
      </w:r>
      <w:r w:rsidR="0010293D" w:rsidRPr="00081E53">
        <w:rPr>
          <w:rFonts w:ascii="Times New Roman" w:hAnsi="Times New Roman" w:cs="Times New Roman"/>
          <w:i/>
          <w:iCs/>
          <w:sz w:val="26"/>
          <w:szCs w:val="26"/>
        </w:rPr>
        <w:t>PCIT</w:t>
      </w:r>
      <w:r w:rsidR="0010293D" w:rsidRPr="00081E53">
        <w:rPr>
          <w:rFonts w:ascii="Times New Roman" w:hAnsi="Times New Roman" w:cs="Times New Roman"/>
          <w:i/>
          <w:iCs/>
          <w:sz w:val="26"/>
          <w:szCs w:val="26"/>
        </w:rPr>
        <w:t xml:space="preserve"> v. Maruti Suzuki India Ltd.</w:t>
      </w:r>
      <w:r w:rsidR="0010293D">
        <w:rPr>
          <w:rStyle w:val="FootnoteReference"/>
          <w:rFonts w:ascii="Times New Roman" w:hAnsi="Times New Roman" w:cs="Times New Roman"/>
          <w:i/>
          <w:iCs/>
          <w:sz w:val="26"/>
          <w:szCs w:val="26"/>
          <w:lang w:val="it-IT"/>
        </w:rPr>
        <w:footnoteReference w:id="2"/>
      </w:r>
      <w:r w:rsidR="00081E53" w:rsidRPr="00081E53">
        <w:rPr>
          <w:rFonts w:ascii="Times New Roman" w:hAnsi="Times New Roman" w:cs="Times New Roman"/>
          <w:sz w:val="26"/>
          <w:szCs w:val="26"/>
        </w:rPr>
        <w:t>, the issue of</w:t>
      </w:r>
      <w:r w:rsidR="00081E53">
        <w:rPr>
          <w:rFonts w:ascii="Times New Roman" w:hAnsi="Times New Roman" w:cs="Times New Roman"/>
          <w:sz w:val="26"/>
          <w:szCs w:val="26"/>
        </w:rPr>
        <w:t xml:space="preserve"> service of notice upon a non-existent entity was </w:t>
      </w:r>
      <w:r w:rsidR="00E5578E">
        <w:rPr>
          <w:rFonts w:ascii="Times New Roman" w:hAnsi="Times New Roman" w:cs="Times New Roman"/>
          <w:sz w:val="26"/>
          <w:szCs w:val="26"/>
        </w:rPr>
        <w:t>almost entirely put to rest</w:t>
      </w:r>
      <w:r w:rsidR="00E706DF">
        <w:rPr>
          <w:rFonts w:ascii="Times New Roman" w:hAnsi="Times New Roman" w:cs="Times New Roman"/>
          <w:sz w:val="26"/>
          <w:szCs w:val="26"/>
        </w:rPr>
        <w:t xml:space="preserve"> with the Hon’ble </w:t>
      </w:r>
      <w:r w:rsidR="00AB2512">
        <w:rPr>
          <w:rFonts w:ascii="Times New Roman" w:hAnsi="Times New Roman" w:cs="Times New Roman"/>
          <w:sz w:val="26"/>
          <w:szCs w:val="26"/>
        </w:rPr>
        <w:t>Apex</w:t>
      </w:r>
      <w:r w:rsidR="00E706DF">
        <w:rPr>
          <w:rFonts w:ascii="Times New Roman" w:hAnsi="Times New Roman" w:cs="Times New Roman"/>
          <w:sz w:val="26"/>
          <w:szCs w:val="26"/>
        </w:rPr>
        <w:t xml:space="preserve"> Court almost conclusively deciding th</w:t>
      </w:r>
      <w:r w:rsidR="000B3D90">
        <w:rPr>
          <w:rFonts w:ascii="Times New Roman" w:hAnsi="Times New Roman" w:cs="Times New Roman"/>
          <w:sz w:val="26"/>
          <w:szCs w:val="26"/>
        </w:rPr>
        <w:t>is</w:t>
      </w:r>
      <w:r w:rsidR="00E706DF">
        <w:rPr>
          <w:rFonts w:ascii="Times New Roman" w:hAnsi="Times New Roman" w:cs="Times New Roman"/>
          <w:sz w:val="26"/>
          <w:szCs w:val="26"/>
        </w:rPr>
        <w:t xml:space="preserve"> issue pursuant to discussion of a plethora of judgments on the subject. It was held that </w:t>
      </w:r>
      <w:r w:rsidR="009E13BD">
        <w:rPr>
          <w:rFonts w:ascii="Times New Roman" w:hAnsi="Times New Roman" w:cs="Times New Roman"/>
          <w:sz w:val="26"/>
          <w:szCs w:val="26"/>
        </w:rPr>
        <w:t xml:space="preserve">service of the jurisdictional notice on a non-existing entity went to the root of the matter and any further proceedings were null and void </w:t>
      </w:r>
      <w:proofErr w:type="gramStart"/>
      <w:r w:rsidR="009E13BD">
        <w:rPr>
          <w:rFonts w:ascii="Times New Roman" w:hAnsi="Times New Roman" w:cs="Times New Roman"/>
          <w:sz w:val="26"/>
          <w:szCs w:val="26"/>
        </w:rPr>
        <w:t>inasmuch</w:t>
      </w:r>
      <w:r w:rsidR="00AB2512">
        <w:rPr>
          <w:rFonts w:ascii="Times New Roman" w:hAnsi="Times New Roman" w:cs="Times New Roman"/>
          <w:sz w:val="26"/>
          <w:szCs w:val="26"/>
        </w:rPr>
        <w:t xml:space="preserve"> </w:t>
      </w:r>
      <w:r w:rsidR="009E13BD">
        <w:rPr>
          <w:rFonts w:ascii="Times New Roman" w:hAnsi="Times New Roman" w:cs="Times New Roman"/>
          <w:sz w:val="26"/>
          <w:szCs w:val="26"/>
        </w:rPr>
        <w:t>as</w:t>
      </w:r>
      <w:proofErr w:type="gramEnd"/>
      <w:r w:rsidR="009E13BD">
        <w:rPr>
          <w:rFonts w:ascii="Times New Roman" w:hAnsi="Times New Roman" w:cs="Times New Roman"/>
          <w:sz w:val="26"/>
          <w:szCs w:val="26"/>
        </w:rPr>
        <w:t xml:space="preserve"> even after informing the Assessing Officer about the amalgamation of the erstwhile entity with the assessee, the jurisdictional notice was issued in the name of the erstwhile entity only.</w:t>
      </w:r>
      <w:r w:rsidR="00BF7414">
        <w:rPr>
          <w:rFonts w:ascii="Times New Roman" w:hAnsi="Times New Roman" w:cs="Times New Roman"/>
          <w:sz w:val="26"/>
          <w:szCs w:val="26"/>
        </w:rPr>
        <w:t xml:space="preserve"> In my view, much emphasis needs to be </w:t>
      </w:r>
      <w:r w:rsidR="008E307F">
        <w:rPr>
          <w:rFonts w:ascii="Times New Roman" w:hAnsi="Times New Roman" w:cs="Times New Roman"/>
          <w:sz w:val="26"/>
          <w:szCs w:val="26"/>
        </w:rPr>
        <w:t xml:space="preserve">given to the fact that the Assessing Officer was informed of the amalgamation and the </w:t>
      </w:r>
      <w:r w:rsidR="008270F1">
        <w:rPr>
          <w:rFonts w:ascii="Times New Roman" w:hAnsi="Times New Roman" w:cs="Times New Roman"/>
          <w:sz w:val="26"/>
          <w:szCs w:val="26"/>
        </w:rPr>
        <w:t>deemed non-existence of the erstwhile entity</w:t>
      </w:r>
      <w:r w:rsidR="00AB2512">
        <w:rPr>
          <w:rFonts w:ascii="Times New Roman" w:hAnsi="Times New Roman" w:cs="Times New Roman"/>
          <w:sz w:val="26"/>
          <w:szCs w:val="26"/>
        </w:rPr>
        <w:t xml:space="preserve"> and it still proceeded to issue the jurisdictional notice </w:t>
      </w:r>
      <w:r w:rsidR="000B3D90">
        <w:rPr>
          <w:rFonts w:ascii="Times New Roman" w:hAnsi="Times New Roman" w:cs="Times New Roman"/>
          <w:sz w:val="26"/>
          <w:szCs w:val="26"/>
        </w:rPr>
        <w:t>on</w:t>
      </w:r>
      <w:r w:rsidR="00AB2512">
        <w:rPr>
          <w:rFonts w:ascii="Times New Roman" w:hAnsi="Times New Roman" w:cs="Times New Roman"/>
          <w:sz w:val="26"/>
          <w:szCs w:val="26"/>
        </w:rPr>
        <w:t xml:space="preserve"> the non-existing entity</w:t>
      </w:r>
      <w:r w:rsidR="008270F1">
        <w:rPr>
          <w:rFonts w:ascii="Times New Roman" w:hAnsi="Times New Roman" w:cs="Times New Roman"/>
          <w:sz w:val="26"/>
          <w:szCs w:val="26"/>
        </w:rPr>
        <w:t xml:space="preserve">. It is in my view, chiefly due to this reason that the </w:t>
      </w:r>
      <w:r w:rsidR="00730790">
        <w:rPr>
          <w:rFonts w:ascii="Times New Roman" w:hAnsi="Times New Roman" w:cs="Times New Roman"/>
          <w:sz w:val="26"/>
          <w:szCs w:val="26"/>
        </w:rPr>
        <w:t xml:space="preserve">notice as well as the </w:t>
      </w:r>
      <w:r w:rsidR="00AB2512">
        <w:rPr>
          <w:rFonts w:ascii="Times New Roman" w:hAnsi="Times New Roman" w:cs="Times New Roman"/>
          <w:sz w:val="26"/>
          <w:szCs w:val="26"/>
        </w:rPr>
        <w:t>subsequent proceedings</w:t>
      </w:r>
      <w:r w:rsidR="00730790">
        <w:rPr>
          <w:rFonts w:ascii="Times New Roman" w:hAnsi="Times New Roman" w:cs="Times New Roman"/>
          <w:sz w:val="26"/>
          <w:szCs w:val="26"/>
        </w:rPr>
        <w:t xml:space="preserve"> which followed</w:t>
      </w:r>
      <w:r w:rsidR="00AB2512">
        <w:rPr>
          <w:rFonts w:ascii="Times New Roman" w:hAnsi="Times New Roman" w:cs="Times New Roman"/>
          <w:sz w:val="26"/>
          <w:szCs w:val="26"/>
        </w:rPr>
        <w:t xml:space="preserve"> </w:t>
      </w:r>
      <w:r w:rsidR="005E0D84">
        <w:rPr>
          <w:rFonts w:ascii="Times New Roman" w:hAnsi="Times New Roman" w:cs="Times New Roman"/>
          <w:sz w:val="26"/>
          <w:szCs w:val="26"/>
        </w:rPr>
        <w:t xml:space="preserve">the notice </w:t>
      </w:r>
      <w:r w:rsidR="00AB2512">
        <w:rPr>
          <w:rFonts w:ascii="Times New Roman" w:hAnsi="Times New Roman" w:cs="Times New Roman"/>
          <w:sz w:val="26"/>
          <w:szCs w:val="26"/>
        </w:rPr>
        <w:t>were quashed.</w:t>
      </w:r>
    </w:p>
    <w:p w14:paraId="6B971BA7" w14:textId="77777777" w:rsidR="0035502B" w:rsidRDefault="0035502B" w:rsidP="0035502B">
      <w:pPr>
        <w:pStyle w:val="ListParagraph"/>
        <w:spacing w:after="0" w:line="240" w:lineRule="auto"/>
        <w:jc w:val="both"/>
        <w:rPr>
          <w:rFonts w:ascii="Times New Roman" w:hAnsi="Times New Roman" w:cs="Times New Roman"/>
          <w:sz w:val="26"/>
          <w:szCs w:val="26"/>
        </w:rPr>
      </w:pPr>
    </w:p>
    <w:p w14:paraId="3998DF17" w14:textId="44307F7F" w:rsidR="00233EC8" w:rsidRPr="0035502B" w:rsidRDefault="00AB2512" w:rsidP="0035502B">
      <w:pPr>
        <w:pStyle w:val="ListParagraph"/>
        <w:numPr>
          <w:ilvl w:val="0"/>
          <w:numId w:val="2"/>
        </w:numPr>
        <w:spacing w:after="0" w:line="360" w:lineRule="auto"/>
        <w:jc w:val="both"/>
        <w:rPr>
          <w:rFonts w:ascii="Times New Roman" w:hAnsi="Times New Roman" w:cs="Times New Roman"/>
          <w:sz w:val="26"/>
          <w:szCs w:val="26"/>
        </w:rPr>
      </w:pPr>
      <w:r w:rsidRPr="0035502B">
        <w:rPr>
          <w:rFonts w:ascii="Times New Roman" w:hAnsi="Times New Roman" w:cs="Times New Roman"/>
          <w:sz w:val="26"/>
          <w:szCs w:val="26"/>
        </w:rPr>
        <w:t xml:space="preserve">At this juncture, it is important to consider another Apex Court judgment in </w:t>
      </w:r>
      <w:r w:rsidR="0011473D" w:rsidRPr="0035502B">
        <w:rPr>
          <w:rFonts w:ascii="Times New Roman" w:hAnsi="Times New Roman" w:cs="Times New Roman"/>
          <w:i/>
          <w:iCs/>
          <w:sz w:val="26"/>
          <w:szCs w:val="26"/>
        </w:rPr>
        <w:t>Maharaja of Patiala v</w:t>
      </w:r>
      <w:r w:rsidR="0011473D" w:rsidRPr="0035502B">
        <w:rPr>
          <w:rFonts w:ascii="Times New Roman" w:hAnsi="Times New Roman" w:cs="Times New Roman"/>
          <w:i/>
          <w:iCs/>
          <w:sz w:val="26"/>
          <w:szCs w:val="26"/>
        </w:rPr>
        <w:t>s</w:t>
      </w:r>
      <w:r w:rsidR="0011473D" w:rsidRPr="0035502B">
        <w:rPr>
          <w:rFonts w:ascii="Times New Roman" w:hAnsi="Times New Roman" w:cs="Times New Roman"/>
          <w:i/>
          <w:iCs/>
          <w:sz w:val="26"/>
          <w:szCs w:val="26"/>
        </w:rPr>
        <w:t>.</w:t>
      </w:r>
      <w:r w:rsidR="0011473D" w:rsidRPr="0035502B">
        <w:rPr>
          <w:rFonts w:ascii="Times New Roman" w:hAnsi="Times New Roman" w:cs="Times New Roman"/>
          <w:sz w:val="26"/>
          <w:szCs w:val="26"/>
        </w:rPr>
        <w:t xml:space="preserve"> </w:t>
      </w:r>
      <w:r w:rsidR="0011473D" w:rsidRPr="0035502B">
        <w:rPr>
          <w:rFonts w:ascii="Times New Roman" w:hAnsi="Times New Roman" w:cs="Times New Roman"/>
          <w:i/>
          <w:iCs/>
          <w:sz w:val="26"/>
          <w:szCs w:val="26"/>
        </w:rPr>
        <w:t>CIT</w:t>
      </w:r>
      <w:r w:rsidR="0011473D">
        <w:rPr>
          <w:rStyle w:val="FootnoteReference"/>
          <w:rFonts w:ascii="Times New Roman" w:hAnsi="Times New Roman" w:cs="Times New Roman"/>
          <w:i/>
          <w:iCs/>
          <w:sz w:val="26"/>
          <w:szCs w:val="26"/>
        </w:rPr>
        <w:footnoteReference w:id="3"/>
      </w:r>
      <w:r w:rsidR="0011473D" w:rsidRPr="0035502B">
        <w:rPr>
          <w:rFonts w:ascii="Times New Roman" w:hAnsi="Times New Roman" w:cs="Times New Roman"/>
          <w:sz w:val="26"/>
          <w:szCs w:val="26"/>
        </w:rPr>
        <w:t xml:space="preserve"> which </w:t>
      </w:r>
      <w:r w:rsidR="004063F0" w:rsidRPr="0035502B">
        <w:rPr>
          <w:rFonts w:ascii="Times New Roman" w:hAnsi="Times New Roman" w:cs="Times New Roman"/>
          <w:sz w:val="26"/>
          <w:szCs w:val="26"/>
        </w:rPr>
        <w:t xml:space="preserve">was elaborately </w:t>
      </w:r>
      <w:r w:rsidR="0011473D" w:rsidRPr="0035502B">
        <w:rPr>
          <w:rFonts w:ascii="Times New Roman" w:hAnsi="Times New Roman" w:cs="Times New Roman"/>
          <w:sz w:val="26"/>
          <w:szCs w:val="26"/>
        </w:rPr>
        <w:t xml:space="preserve">dealt with </w:t>
      </w:r>
      <w:r w:rsidR="004063F0" w:rsidRPr="0035502B">
        <w:rPr>
          <w:rFonts w:ascii="Times New Roman" w:hAnsi="Times New Roman" w:cs="Times New Roman"/>
          <w:sz w:val="26"/>
          <w:szCs w:val="26"/>
        </w:rPr>
        <w:t xml:space="preserve">in </w:t>
      </w:r>
      <w:r w:rsidR="004063F0" w:rsidRPr="0035502B">
        <w:rPr>
          <w:rFonts w:ascii="Times New Roman" w:hAnsi="Times New Roman" w:cs="Times New Roman"/>
          <w:i/>
          <w:iCs/>
          <w:sz w:val="26"/>
          <w:szCs w:val="26"/>
        </w:rPr>
        <w:t xml:space="preserve">Maruti Suzuki. </w:t>
      </w:r>
      <w:r w:rsidR="004063F0" w:rsidRPr="0035502B">
        <w:rPr>
          <w:rFonts w:ascii="Times New Roman" w:hAnsi="Times New Roman" w:cs="Times New Roman"/>
          <w:sz w:val="26"/>
          <w:szCs w:val="26"/>
        </w:rPr>
        <w:t xml:space="preserve">The facts </w:t>
      </w:r>
      <w:r w:rsidR="003F42C6" w:rsidRPr="0035502B">
        <w:rPr>
          <w:rFonts w:ascii="Times New Roman" w:hAnsi="Times New Roman" w:cs="Times New Roman"/>
          <w:sz w:val="26"/>
          <w:szCs w:val="26"/>
        </w:rPr>
        <w:t>in this case were that t</w:t>
      </w:r>
      <w:r w:rsidR="00C5083B" w:rsidRPr="0035502B">
        <w:rPr>
          <w:rFonts w:ascii="Times New Roman" w:hAnsi="Times New Roman" w:cs="Times New Roman"/>
          <w:sz w:val="26"/>
          <w:szCs w:val="26"/>
        </w:rPr>
        <w:t xml:space="preserve">wo </w:t>
      </w:r>
      <w:r w:rsidR="003F42C6" w:rsidRPr="0035502B">
        <w:rPr>
          <w:rFonts w:ascii="Times New Roman" w:hAnsi="Times New Roman" w:cs="Times New Roman"/>
          <w:sz w:val="26"/>
          <w:szCs w:val="26"/>
        </w:rPr>
        <w:t>notice</w:t>
      </w:r>
      <w:r w:rsidR="00C5083B" w:rsidRPr="0035502B">
        <w:rPr>
          <w:rFonts w:ascii="Times New Roman" w:hAnsi="Times New Roman" w:cs="Times New Roman"/>
          <w:sz w:val="26"/>
          <w:szCs w:val="26"/>
        </w:rPr>
        <w:t>s</w:t>
      </w:r>
      <w:r w:rsidR="003F42C6" w:rsidRPr="0035502B">
        <w:rPr>
          <w:rFonts w:ascii="Times New Roman" w:hAnsi="Times New Roman" w:cs="Times New Roman"/>
          <w:sz w:val="26"/>
          <w:szCs w:val="26"/>
        </w:rPr>
        <w:t xml:space="preserve"> w</w:t>
      </w:r>
      <w:r w:rsidR="00C5083B" w:rsidRPr="0035502B">
        <w:rPr>
          <w:rFonts w:ascii="Times New Roman" w:hAnsi="Times New Roman" w:cs="Times New Roman"/>
          <w:sz w:val="26"/>
          <w:szCs w:val="26"/>
        </w:rPr>
        <w:t>ere</w:t>
      </w:r>
      <w:r w:rsidR="003F42C6" w:rsidRPr="0035502B">
        <w:rPr>
          <w:rFonts w:ascii="Times New Roman" w:hAnsi="Times New Roman" w:cs="Times New Roman"/>
          <w:sz w:val="26"/>
          <w:szCs w:val="26"/>
        </w:rPr>
        <w:t xml:space="preserve"> issued in the name of the deceased </w:t>
      </w:r>
      <w:r w:rsidR="00CC204F" w:rsidRPr="0035502B">
        <w:rPr>
          <w:rFonts w:ascii="Times New Roman" w:hAnsi="Times New Roman" w:cs="Times New Roman"/>
          <w:sz w:val="26"/>
          <w:szCs w:val="26"/>
        </w:rPr>
        <w:t xml:space="preserve">Maharaja requiring him to file a return, but were </w:t>
      </w:r>
      <w:r w:rsidR="003F42C6" w:rsidRPr="0035502B">
        <w:rPr>
          <w:rFonts w:ascii="Times New Roman" w:hAnsi="Times New Roman" w:cs="Times New Roman"/>
          <w:sz w:val="26"/>
          <w:szCs w:val="26"/>
        </w:rPr>
        <w:t xml:space="preserve">served upon the legal representative of </w:t>
      </w:r>
      <w:r w:rsidR="00CC204F" w:rsidRPr="0035502B">
        <w:rPr>
          <w:rFonts w:ascii="Times New Roman" w:hAnsi="Times New Roman" w:cs="Times New Roman"/>
          <w:sz w:val="26"/>
          <w:szCs w:val="26"/>
        </w:rPr>
        <w:t xml:space="preserve">the Maharaja. The legal representative never objected to the said notices and thereafter the assessment order was passed </w:t>
      </w:r>
      <w:r w:rsidR="009E578B">
        <w:rPr>
          <w:rFonts w:ascii="Times New Roman" w:hAnsi="Times New Roman" w:cs="Times New Roman"/>
          <w:sz w:val="26"/>
          <w:szCs w:val="26"/>
        </w:rPr>
        <w:t xml:space="preserve">correctly </w:t>
      </w:r>
      <w:r w:rsidR="00CC204F" w:rsidRPr="0035502B">
        <w:rPr>
          <w:rFonts w:ascii="Times New Roman" w:hAnsi="Times New Roman" w:cs="Times New Roman"/>
          <w:sz w:val="26"/>
          <w:szCs w:val="26"/>
        </w:rPr>
        <w:t xml:space="preserve">in the name of the </w:t>
      </w:r>
      <w:r w:rsidR="009E578B">
        <w:rPr>
          <w:rFonts w:ascii="Times New Roman" w:hAnsi="Times New Roman" w:cs="Times New Roman"/>
          <w:sz w:val="26"/>
          <w:szCs w:val="26"/>
        </w:rPr>
        <w:t xml:space="preserve">deceased </w:t>
      </w:r>
      <w:r w:rsidR="00CC204F" w:rsidRPr="0035502B">
        <w:rPr>
          <w:rFonts w:ascii="Times New Roman" w:hAnsi="Times New Roman" w:cs="Times New Roman"/>
          <w:sz w:val="26"/>
          <w:szCs w:val="26"/>
        </w:rPr>
        <w:t>Maharaja.</w:t>
      </w:r>
      <w:r w:rsidR="00F4549C" w:rsidRPr="0035502B">
        <w:rPr>
          <w:rFonts w:ascii="Times New Roman" w:hAnsi="Times New Roman" w:cs="Times New Roman"/>
          <w:sz w:val="26"/>
          <w:szCs w:val="26"/>
        </w:rPr>
        <w:t xml:space="preserve"> However, the legal representative filed a petition contending that the assessment orders were </w:t>
      </w:r>
      <w:r w:rsidR="00D84E67">
        <w:rPr>
          <w:rFonts w:ascii="Times New Roman" w:hAnsi="Times New Roman" w:cs="Times New Roman"/>
          <w:sz w:val="26"/>
          <w:szCs w:val="26"/>
        </w:rPr>
        <w:t>illegal</w:t>
      </w:r>
      <w:r w:rsidR="00F4549C" w:rsidRPr="0035502B">
        <w:rPr>
          <w:rFonts w:ascii="Times New Roman" w:hAnsi="Times New Roman" w:cs="Times New Roman"/>
          <w:sz w:val="26"/>
          <w:szCs w:val="26"/>
        </w:rPr>
        <w:t xml:space="preserve"> since the </w:t>
      </w:r>
      <w:r w:rsidR="0032506A" w:rsidRPr="0035502B">
        <w:rPr>
          <w:rFonts w:ascii="Times New Roman" w:hAnsi="Times New Roman" w:cs="Times New Roman"/>
          <w:sz w:val="26"/>
          <w:szCs w:val="26"/>
        </w:rPr>
        <w:t xml:space="preserve">notices were issued in the name of a deceased person viz. the Maharaja. </w:t>
      </w:r>
      <w:r w:rsidR="00C75AD5" w:rsidRPr="0035502B">
        <w:rPr>
          <w:rFonts w:ascii="Times New Roman" w:hAnsi="Times New Roman" w:cs="Times New Roman"/>
          <w:sz w:val="26"/>
          <w:szCs w:val="26"/>
        </w:rPr>
        <w:t>T</w:t>
      </w:r>
      <w:r w:rsidR="0032506A" w:rsidRPr="0035502B">
        <w:rPr>
          <w:rFonts w:ascii="Times New Roman" w:hAnsi="Times New Roman" w:cs="Times New Roman"/>
          <w:sz w:val="26"/>
          <w:szCs w:val="26"/>
        </w:rPr>
        <w:t>he</w:t>
      </w:r>
      <w:r w:rsidR="00C75AD5" w:rsidRPr="0035502B">
        <w:rPr>
          <w:rFonts w:ascii="Times New Roman" w:hAnsi="Times New Roman" w:cs="Times New Roman"/>
          <w:sz w:val="26"/>
          <w:szCs w:val="26"/>
        </w:rPr>
        <w:t xml:space="preserve"> </w:t>
      </w:r>
      <w:proofErr w:type="gramStart"/>
      <w:r w:rsidR="00C75AD5" w:rsidRPr="0035502B">
        <w:rPr>
          <w:rFonts w:ascii="Times New Roman" w:hAnsi="Times New Roman" w:cs="Times New Roman"/>
          <w:sz w:val="26"/>
          <w:szCs w:val="26"/>
        </w:rPr>
        <w:t xml:space="preserve">Hon’ble </w:t>
      </w:r>
      <w:r w:rsidR="0032506A" w:rsidRPr="0035502B">
        <w:rPr>
          <w:rFonts w:ascii="Times New Roman" w:hAnsi="Times New Roman" w:cs="Times New Roman"/>
          <w:sz w:val="26"/>
          <w:szCs w:val="26"/>
        </w:rPr>
        <w:t xml:space="preserve"> Bombay</w:t>
      </w:r>
      <w:proofErr w:type="gramEnd"/>
      <w:r w:rsidR="0032506A" w:rsidRPr="0035502B">
        <w:rPr>
          <w:rFonts w:ascii="Times New Roman" w:hAnsi="Times New Roman" w:cs="Times New Roman"/>
          <w:sz w:val="26"/>
          <w:szCs w:val="26"/>
        </w:rPr>
        <w:t xml:space="preserve"> High Court upheld the notices and the assessment order since </w:t>
      </w:r>
      <w:r w:rsidR="003B0665" w:rsidRPr="0035502B">
        <w:rPr>
          <w:rFonts w:ascii="Times New Roman" w:hAnsi="Times New Roman" w:cs="Times New Roman"/>
          <w:sz w:val="26"/>
          <w:szCs w:val="26"/>
        </w:rPr>
        <w:t xml:space="preserve">the service of notice was rightly carried out </w:t>
      </w:r>
      <w:r w:rsidR="00314487" w:rsidRPr="0035502B">
        <w:rPr>
          <w:rFonts w:ascii="Times New Roman" w:hAnsi="Times New Roman" w:cs="Times New Roman"/>
          <w:sz w:val="26"/>
          <w:szCs w:val="26"/>
        </w:rPr>
        <w:t>on</w:t>
      </w:r>
      <w:r w:rsidR="003B0665" w:rsidRPr="0035502B">
        <w:rPr>
          <w:rFonts w:ascii="Times New Roman" w:hAnsi="Times New Roman" w:cs="Times New Roman"/>
          <w:sz w:val="26"/>
          <w:szCs w:val="26"/>
        </w:rPr>
        <w:t xml:space="preserve"> the </w:t>
      </w:r>
      <w:r w:rsidR="003B0665" w:rsidRPr="0035502B">
        <w:rPr>
          <w:rFonts w:ascii="Times New Roman" w:hAnsi="Times New Roman" w:cs="Times New Roman"/>
          <w:sz w:val="26"/>
          <w:szCs w:val="26"/>
        </w:rPr>
        <w:lastRenderedPageBreak/>
        <w:t>name of the legal representatives only</w:t>
      </w:r>
      <w:r w:rsidR="00314487" w:rsidRPr="0035502B">
        <w:rPr>
          <w:rFonts w:ascii="Times New Roman" w:hAnsi="Times New Roman" w:cs="Times New Roman"/>
          <w:sz w:val="26"/>
          <w:szCs w:val="26"/>
        </w:rPr>
        <w:t xml:space="preserve"> and it was a mere error that the notice was issued in the name of the deceased Maharaja.</w:t>
      </w:r>
      <w:r w:rsidR="003B0665" w:rsidRPr="0035502B">
        <w:rPr>
          <w:rFonts w:ascii="Times New Roman" w:hAnsi="Times New Roman" w:cs="Times New Roman"/>
          <w:sz w:val="26"/>
          <w:szCs w:val="26"/>
        </w:rPr>
        <w:t xml:space="preserve"> </w:t>
      </w:r>
    </w:p>
    <w:p w14:paraId="764970B3" w14:textId="77777777" w:rsidR="00314487" w:rsidRDefault="00314487" w:rsidP="00314487">
      <w:pPr>
        <w:spacing w:after="0" w:line="240" w:lineRule="auto"/>
        <w:ind w:left="720"/>
        <w:jc w:val="both"/>
        <w:rPr>
          <w:rFonts w:ascii="Times New Roman" w:hAnsi="Times New Roman" w:cs="Times New Roman"/>
          <w:sz w:val="26"/>
          <w:szCs w:val="26"/>
        </w:rPr>
      </w:pPr>
    </w:p>
    <w:p w14:paraId="60FF5CC4" w14:textId="386235B6" w:rsidR="003B0665" w:rsidRDefault="004E6D69" w:rsidP="00AB2512">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From the above, it can be gleaned that informing the Assessing </w:t>
      </w:r>
      <w:r w:rsidR="0035502B">
        <w:rPr>
          <w:rFonts w:ascii="Times New Roman" w:hAnsi="Times New Roman" w:cs="Times New Roman"/>
          <w:sz w:val="26"/>
          <w:szCs w:val="26"/>
        </w:rPr>
        <w:t>O</w:t>
      </w:r>
      <w:r>
        <w:rPr>
          <w:rFonts w:ascii="Times New Roman" w:hAnsi="Times New Roman" w:cs="Times New Roman"/>
          <w:sz w:val="26"/>
          <w:szCs w:val="26"/>
        </w:rPr>
        <w:t xml:space="preserve">fficer of the amalgamation/death of the deceased can alter the face of the proceedings, since but for this intimation to the officer, the facts in both the cases are almost identical. </w:t>
      </w:r>
    </w:p>
    <w:p w14:paraId="49C085D5" w14:textId="77777777" w:rsidR="0035502B" w:rsidRDefault="0035502B" w:rsidP="00AB2512">
      <w:pPr>
        <w:spacing w:after="0" w:line="360" w:lineRule="auto"/>
        <w:ind w:left="720"/>
        <w:jc w:val="both"/>
        <w:rPr>
          <w:rFonts w:ascii="Times New Roman" w:hAnsi="Times New Roman" w:cs="Times New Roman"/>
          <w:sz w:val="26"/>
          <w:szCs w:val="26"/>
        </w:rPr>
      </w:pPr>
    </w:p>
    <w:p w14:paraId="53CA4B0D" w14:textId="44A6B31F" w:rsidR="00855CA5" w:rsidRDefault="00AB67D5" w:rsidP="00D06DC5">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w:t>
      </w:r>
      <w:proofErr w:type="spellStart"/>
      <w:r w:rsidR="00C5127D" w:rsidRPr="00C5127D">
        <w:rPr>
          <w:rFonts w:ascii="Times New Roman" w:hAnsi="Times New Roman" w:cs="Times New Roman"/>
          <w:i/>
          <w:iCs/>
          <w:sz w:val="26"/>
          <w:szCs w:val="26"/>
        </w:rPr>
        <w:t>Dharamraj</w:t>
      </w:r>
      <w:proofErr w:type="spellEnd"/>
      <w:r w:rsidR="00C5127D" w:rsidRPr="00C5127D">
        <w:rPr>
          <w:rFonts w:ascii="Times New Roman" w:hAnsi="Times New Roman" w:cs="Times New Roman"/>
          <w:i/>
          <w:iCs/>
          <w:sz w:val="26"/>
          <w:szCs w:val="26"/>
        </w:rPr>
        <w:t xml:space="preserve"> vs. ITO</w:t>
      </w:r>
      <w:r w:rsidR="00C5127D">
        <w:rPr>
          <w:rStyle w:val="FootnoteReference"/>
          <w:rFonts w:ascii="Times New Roman" w:hAnsi="Times New Roman" w:cs="Times New Roman"/>
          <w:i/>
          <w:iCs/>
          <w:sz w:val="26"/>
          <w:szCs w:val="26"/>
        </w:rPr>
        <w:footnoteReference w:id="4"/>
      </w:r>
      <w:r w:rsidR="00C5127D">
        <w:rPr>
          <w:rFonts w:ascii="Times New Roman" w:hAnsi="Times New Roman" w:cs="Times New Roman"/>
          <w:sz w:val="26"/>
          <w:szCs w:val="26"/>
        </w:rPr>
        <w:t xml:space="preserve">, the Hon’ble Delhi High Court after quoting with approval </w:t>
      </w:r>
      <w:r w:rsidR="00052312">
        <w:rPr>
          <w:rFonts w:ascii="Times New Roman" w:hAnsi="Times New Roman" w:cs="Times New Roman"/>
          <w:sz w:val="26"/>
          <w:szCs w:val="26"/>
        </w:rPr>
        <w:t xml:space="preserve">its own decision </w:t>
      </w:r>
      <w:r w:rsidR="00C5127D">
        <w:rPr>
          <w:rFonts w:ascii="Times New Roman" w:hAnsi="Times New Roman" w:cs="Times New Roman"/>
          <w:sz w:val="26"/>
          <w:szCs w:val="26"/>
        </w:rPr>
        <w:t xml:space="preserve">in </w:t>
      </w:r>
      <w:r w:rsidR="00D06DC5" w:rsidRPr="00052312">
        <w:rPr>
          <w:rFonts w:ascii="Times New Roman" w:hAnsi="Times New Roman" w:cs="Times New Roman"/>
          <w:i/>
          <w:iCs/>
          <w:sz w:val="26"/>
          <w:szCs w:val="26"/>
        </w:rPr>
        <w:t>Savita Kapila v. Asst. CIT</w:t>
      </w:r>
      <w:r w:rsidR="00D06DC5">
        <w:rPr>
          <w:rStyle w:val="FootnoteReference"/>
          <w:rFonts w:ascii="Times New Roman" w:hAnsi="Times New Roman" w:cs="Times New Roman"/>
          <w:sz w:val="26"/>
          <w:szCs w:val="26"/>
        </w:rPr>
        <w:footnoteReference w:id="5"/>
      </w:r>
      <w:r w:rsidR="00052312">
        <w:rPr>
          <w:rFonts w:ascii="Times New Roman" w:hAnsi="Times New Roman" w:cs="Times New Roman"/>
          <w:sz w:val="26"/>
          <w:szCs w:val="26"/>
        </w:rPr>
        <w:t xml:space="preserve">, held that </w:t>
      </w:r>
      <w:r w:rsidR="00CC3FE1">
        <w:rPr>
          <w:rFonts w:ascii="Times New Roman" w:hAnsi="Times New Roman" w:cs="Times New Roman"/>
          <w:sz w:val="26"/>
          <w:szCs w:val="26"/>
        </w:rPr>
        <w:t>there is no statutory obligation for the assessee to intimate the Department about death or change of address</w:t>
      </w:r>
      <w:r w:rsidR="002B205D">
        <w:rPr>
          <w:rFonts w:ascii="Times New Roman" w:hAnsi="Times New Roman" w:cs="Times New Roman"/>
          <w:sz w:val="26"/>
          <w:szCs w:val="26"/>
        </w:rPr>
        <w:t xml:space="preserve"> of the assessee</w:t>
      </w:r>
      <w:r w:rsidR="00CC3FE1">
        <w:rPr>
          <w:rFonts w:ascii="Times New Roman" w:hAnsi="Times New Roman" w:cs="Times New Roman"/>
          <w:sz w:val="26"/>
          <w:szCs w:val="26"/>
        </w:rPr>
        <w:t>. Therefore, the argument</w:t>
      </w:r>
      <w:r w:rsidR="00BA052D">
        <w:rPr>
          <w:rFonts w:ascii="Times New Roman" w:hAnsi="Times New Roman" w:cs="Times New Roman"/>
          <w:sz w:val="26"/>
          <w:szCs w:val="26"/>
        </w:rPr>
        <w:t>s</w:t>
      </w:r>
      <w:r w:rsidR="00CC3FE1">
        <w:rPr>
          <w:rFonts w:ascii="Times New Roman" w:hAnsi="Times New Roman" w:cs="Times New Roman"/>
          <w:sz w:val="26"/>
          <w:szCs w:val="26"/>
        </w:rPr>
        <w:t xml:space="preserve"> of the Revenue that the factum of death of the assessee was never communicated to it </w:t>
      </w:r>
      <w:r w:rsidR="00BA052D">
        <w:rPr>
          <w:rFonts w:ascii="Times New Roman" w:hAnsi="Times New Roman" w:cs="Times New Roman"/>
          <w:sz w:val="26"/>
          <w:szCs w:val="26"/>
        </w:rPr>
        <w:t xml:space="preserve">and that the assessee was intimated at the address available with the Income-tax Department </w:t>
      </w:r>
      <w:r w:rsidR="00CC3FE1">
        <w:rPr>
          <w:rFonts w:ascii="Times New Roman" w:hAnsi="Times New Roman" w:cs="Times New Roman"/>
          <w:sz w:val="26"/>
          <w:szCs w:val="26"/>
        </w:rPr>
        <w:t>w</w:t>
      </w:r>
      <w:r w:rsidR="00EF5E4B">
        <w:rPr>
          <w:rFonts w:ascii="Times New Roman" w:hAnsi="Times New Roman" w:cs="Times New Roman"/>
          <w:sz w:val="26"/>
          <w:szCs w:val="26"/>
        </w:rPr>
        <w:t>ere</w:t>
      </w:r>
      <w:r w:rsidR="00CC3FE1">
        <w:rPr>
          <w:rFonts w:ascii="Times New Roman" w:hAnsi="Times New Roman" w:cs="Times New Roman"/>
          <w:sz w:val="26"/>
          <w:szCs w:val="26"/>
        </w:rPr>
        <w:t xml:space="preserve"> rejected and the reassessment proceedings were quashed on the basis that issuance of notice in the name of a dead person was a jurisdictional error going to the root of the matter. </w:t>
      </w:r>
      <w:r w:rsidR="00CF0462">
        <w:rPr>
          <w:rFonts w:ascii="Times New Roman" w:hAnsi="Times New Roman" w:cs="Times New Roman"/>
          <w:sz w:val="26"/>
          <w:szCs w:val="26"/>
        </w:rPr>
        <w:t>On the narrow reasoning that ‘</w:t>
      </w:r>
      <w:r w:rsidR="00CF0462" w:rsidRPr="00CF0462">
        <w:rPr>
          <w:rFonts w:ascii="Times New Roman" w:hAnsi="Times New Roman" w:cs="Times New Roman"/>
          <w:i/>
          <w:iCs/>
          <w:sz w:val="26"/>
          <w:szCs w:val="26"/>
        </w:rPr>
        <w:t>there may be cases where the legal representatives are estranged from the deceased-assessee or the deceased-assessee may have bequeathed his entire wealth to a charity</w:t>
      </w:r>
      <w:r w:rsidR="00CF0462">
        <w:rPr>
          <w:rFonts w:ascii="Times New Roman" w:hAnsi="Times New Roman" w:cs="Times New Roman"/>
          <w:i/>
          <w:iCs/>
          <w:sz w:val="26"/>
          <w:szCs w:val="26"/>
        </w:rPr>
        <w:t xml:space="preserve">’ </w:t>
      </w:r>
      <w:r w:rsidR="00CF0462" w:rsidRPr="002A78B4">
        <w:rPr>
          <w:rFonts w:ascii="Times New Roman" w:hAnsi="Times New Roman" w:cs="Times New Roman"/>
          <w:sz w:val="26"/>
          <w:szCs w:val="26"/>
        </w:rPr>
        <w:t xml:space="preserve">the </w:t>
      </w:r>
      <w:r w:rsidR="002A78B4" w:rsidRPr="002A78B4">
        <w:rPr>
          <w:rFonts w:ascii="Times New Roman" w:hAnsi="Times New Roman" w:cs="Times New Roman"/>
          <w:sz w:val="26"/>
          <w:szCs w:val="26"/>
        </w:rPr>
        <w:t xml:space="preserve">argument that there is an </w:t>
      </w:r>
      <w:r w:rsidR="00CF0462" w:rsidRPr="002A78B4">
        <w:rPr>
          <w:rFonts w:ascii="Times New Roman" w:hAnsi="Times New Roman" w:cs="Times New Roman"/>
          <w:sz w:val="26"/>
          <w:szCs w:val="26"/>
        </w:rPr>
        <w:t>obligation to intimate the Revenue was</w:t>
      </w:r>
      <w:r w:rsidR="002A78B4" w:rsidRPr="002A78B4">
        <w:rPr>
          <w:rFonts w:ascii="Times New Roman" w:hAnsi="Times New Roman" w:cs="Times New Roman"/>
          <w:sz w:val="26"/>
          <w:szCs w:val="26"/>
        </w:rPr>
        <w:t xml:space="preserve"> not accepted</w:t>
      </w:r>
      <w:r w:rsidR="002A78B4">
        <w:rPr>
          <w:rFonts w:ascii="Times New Roman" w:hAnsi="Times New Roman" w:cs="Times New Roman"/>
          <w:sz w:val="26"/>
          <w:szCs w:val="26"/>
        </w:rPr>
        <w:t xml:space="preserve">. </w:t>
      </w:r>
    </w:p>
    <w:p w14:paraId="792C33FD" w14:textId="77777777" w:rsidR="00855CA5" w:rsidRDefault="00855CA5" w:rsidP="0003122F">
      <w:pPr>
        <w:spacing w:after="0" w:line="240" w:lineRule="auto"/>
        <w:jc w:val="both"/>
        <w:rPr>
          <w:rFonts w:ascii="Times New Roman" w:hAnsi="Times New Roman" w:cs="Times New Roman"/>
          <w:i/>
          <w:iCs/>
          <w:sz w:val="26"/>
          <w:szCs w:val="26"/>
        </w:rPr>
      </w:pPr>
    </w:p>
    <w:p w14:paraId="6388E42E" w14:textId="05B192BC" w:rsidR="0035502B" w:rsidRPr="00855CA5" w:rsidRDefault="00855CA5" w:rsidP="00855CA5">
      <w:pPr>
        <w:spacing w:after="0" w:line="360" w:lineRule="auto"/>
        <w:jc w:val="center"/>
        <w:rPr>
          <w:rFonts w:ascii="Times New Roman" w:hAnsi="Times New Roman" w:cs="Times New Roman"/>
          <w:b/>
          <w:bCs/>
          <w:sz w:val="26"/>
          <w:szCs w:val="26"/>
        </w:rPr>
      </w:pPr>
      <w:r w:rsidRPr="00855CA5">
        <w:rPr>
          <w:rFonts w:ascii="Times New Roman" w:hAnsi="Times New Roman" w:cs="Times New Roman"/>
          <w:b/>
          <w:bCs/>
          <w:sz w:val="26"/>
          <w:szCs w:val="26"/>
        </w:rPr>
        <w:t>Authors views</w:t>
      </w:r>
    </w:p>
    <w:p w14:paraId="0AB1D2D4" w14:textId="27F44729" w:rsidR="00855CA5" w:rsidRDefault="00855CA5" w:rsidP="0003122F">
      <w:pPr>
        <w:spacing w:after="0" w:line="240" w:lineRule="auto"/>
        <w:ind w:left="720"/>
        <w:jc w:val="both"/>
        <w:rPr>
          <w:rFonts w:ascii="Times New Roman" w:hAnsi="Times New Roman" w:cs="Times New Roman"/>
          <w:sz w:val="26"/>
          <w:szCs w:val="26"/>
        </w:rPr>
      </w:pPr>
    </w:p>
    <w:p w14:paraId="6EC13398" w14:textId="131D79C6" w:rsidR="00855CA5" w:rsidRDefault="00855CA5" w:rsidP="00AB2512">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As noted above, the landmark decision in Maruti Suzuki is an authority for the proposition tha</w:t>
      </w:r>
      <w:r w:rsidR="00A62941">
        <w:rPr>
          <w:rFonts w:ascii="Times New Roman" w:hAnsi="Times New Roman" w:cs="Times New Roman"/>
          <w:sz w:val="26"/>
          <w:szCs w:val="26"/>
        </w:rPr>
        <w:t xml:space="preserve">t if the Revenue is intimated prior to the issue of the jurisdictional notice, the Revenue must adhere to the same and proceed accordingly and be circumspect before </w:t>
      </w:r>
      <w:r w:rsidR="0003122F">
        <w:rPr>
          <w:rFonts w:ascii="Times New Roman" w:hAnsi="Times New Roman" w:cs="Times New Roman"/>
          <w:sz w:val="26"/>
          <w:szCs w:val="26"/>
        </w:rPr>
        <w:t xml:space="preserve">inadvertently issuing the notice in the </w:t>
      </w:r>
      <w:r w:rsidR="0003122F">
        <w:rPr>
          <w:rFonts w:ascii="Times New Roman" w:hAnsi="Times New Roman" w:cs="Times New Roman"/>
          <w:sz w:val="26"/>
          <w:szCs w:val="26"/>
        </w:rPr>
        <w:lastRenderedPageBreak/>
        <w:t>name of a deceased entity.</w:t>
      </w:r>
      <w:r w:rsidR="0009482E">
        <w:rPr>
          <w:rFonts w:ascii="Times New Roman" w:hAnsi="Times New Roman" w:cs="Times New Roman"/>
          <w:sz w:val="26"/>
          <w:szCs w:val="26"/>
        </w:rPr>
        <w:t xml:space="preserve"> However, at the same time, I am of the view that if the Revenue is not intimated </w:t>
      </w:r>
      <w:r w:rsidR="001D0F7C">
        <w:rPr>
          <w:rFonts w:ascii="Times New Roman" w:hAnsi="Times New Roman" w:cs="Times New Roman"/>
          <w:sz w:val="26"/>
          <w:szCs w:val="26"/>
        </w:rPr>
        <w:t>about</w:t>
      </w:r>
      <w:r w:rsidR="0009482E">
        <w:rPr>
          <w:rFonts w:ascii="Times New Roman" w:hAnsi="Times New Roman" w:cs="Times New Roman"/>
          <w:sz w:val="26"/>
          <w:szCs w:val="26"/>
        </w:rPr>
        <w:t xml:space="preserve"> the factum of death of the assessee, and all </w:t>
      </w:r>
      <w:r w:rsidR="000763E5">
        <w:rPr>
          <w:rFonts w:ascii="Times New Roman" w:hAnsi="Times New Roman" w:cs="Times New Roman"/>
          <w:sz w:val="26"/>
          <w:szCs w:val="26"/>
        </w:rPr>
        <w:t xml:space="preserve">other procedures have been complied with, it can hardly be said that the there is a jurisdictional error in issuing the notice in the name of a deceased person. This is for the reason, that it is squarely impossible for the Revenue to know that the person upon whom a tax assessment is to be made </w:t>
      </w:r>
      <w:r w:rsidR="00241ADD">
        <w:rPr>
          <w:rFonts w:ascii="Times New Roman" w:hAnsi="Times New Roman" w:cs="Times New Roman"/>
          <w:sz w:val="26"/>
          <w:szCs w:val="26"/>
        </w:rPr>
        <w:t xml:space="preserve">is dead or alive and </w:t>
      </w:r>
      <w:proofErr w:type="spellStart"/>
      <w:r w:rsidR="00241ADD">
        <w:rPr>
          <w:rFonts w:ascii="Times New Roman" w:hAnsi="Times New Roman" w:cs="Times New Roman"/>
          <w:sz w:val="26"/>
          <w:szCs w:val="26"/>
        </w:rPr>
        <w:t>ofcourse</w:t>
      </w:r>
      <w:proofErr w:type="spellEnd"/>
      <w:r w:rsidR="00241ADD">
        <w:rPr>
          <w:rFonts w:ascii="Times New Roman" w:hAnsi="Times New Roman" w:cs="Times New Roman"/>
          <w:sz w:val="26"/>
          <w:szCs w:val="26"/>
        </w:rPr>
        <w:t xml:space="preserve"> that person would be presumed to be alive by the Revenue. The doctrine of impossibility is a </w:t>
      </w:r>
      <w:proofErr w:type="spellStart"/>
      <w:r w:rsidR="00241ADD">
        <w:rPr>
          <w:rFonts w:ascii="Times New Roman" w:hAnsi="Times New Roman" w:cs="Times New Roman"/>
          <w:sz w:val="26"/>
          <w:szCs w:val="26"/>
        </w:rPr>
        <w:t>well known</w:t>
      </w:r>
      <w:proofErr w:type="spellEnd"/>
      <w:r w:rsidR="00241ADD">
        <w:rPr>
          <w:rFonts w:ascii="Times New Roman" w:hAnsi="Times New Roman" w:cs="Times New Roman"/>
          <w:sz w:val="26"/>
          <w:szCs w:val="26"/>
        </w:rPr>
        <w:t xml:space="preserve"> concept</w:t>
      </w:r>
      <w:r w:rsidR="00BA6F8F">
        <w:rPr>
          <w:rFonts w:ascii="Times New Roman" w:hAnsi="Times New Roman" w:cs="Times New Roman"/>
          <w:sz w:val="26"/>
          <w:szCs w:val="26"/>
        </w:rPr>
        <w:t xml:space="preserve"> under civil law</w:t>
      </w:r>
      <w:r w:rsidR="00573CC0">
        <w:rPr>
          <w:rFonts w:ascii="Times New Roman" w:hAnsi="Times New Roman" w:cs="Times New Roman"/>
          <w:sz w:val="26"/>
          <w:szCs w:val="26"/>
        </w:rPr>
        <w:t>(</w:t>
      </w:r>
      <w:proofErr w:type="spellStart"/>
      <w:r w:rsidR="00573CC0" w:rsidRPr="00573CC0">
        <w:rPr>
          <w:rFonts w:ascii="Times New Roman" w:hAnsi="Times New Roman" w:cs="Times New Roman"/>
          <w:i/>
          <w:iCs/>
          <w:sz w:val="26"/>
          <w:szCs w:val="26"/>
        </w:rPr>
        <w:t>Impossibilium</w:t>
      </w:r>
      <w:proofErr w:type="spellEnd"/>
      <w:r w:rsidR="00573CC0" w:rsidRPr="00573CC0">
        <w:rPr>
          <w:rFonts w:ascii="Times New Roman" w:hAnsi="Times New Roman" w:cs="Times New Roman"/>
          <w:i/>
          <w:iCs/>
          <w:sz w:val="26"/>
          <w:szCs w:val="26"/>
        </w:rPr>
        <w:t xml:space="preserve"> </w:t>
      </w:r>
      <w:proofErr w:type="spellStart"/>
      <w:r w:rsidR="00573CC0" w:rsidRPr="00573CC0">
        <w:rPr>
          <w:rFonts w:ascii="Times New Roman" w:hAnsi="Times New Roman" w:cs="Times New Roman"/>
          <w:i/>
          <w:iCs/>
          <w:sz w:val="26"/>
          <w:szCs w:val="26"/>
        </w:rPr>
        <w:t>nulla</w:t>
      </w:r>
      <w:proofErr w:type="spellEnd"/>
      <w:r w:rsidR="00573CC0" w:rsidRPr="00573CC0">
        <w:rPr>
          <w:rFonts w:ascii="Times New Roman" w:hAnsi="Times New Roman" w:cs="Times New Roman"/>
          <w:i/>
          <w:iCs/>
          <w:sz w:val="26"/>
          <w:szCs w:val="26"/>
        </w:rPr>
        <w:t xml:space="preserve"> </w:t>
      </w:r>
      <w:proofErr w:type="spellStart"/>
      <w:r w:rsidR="00573CC0" w:rsidRPr="00573CC0">
        <w:rPr>
          <w:rFonts w:ascii="Times New Roman" w:hAnsi="Times New Roman" w:cs="Times New Roman"/>
          <w:i/>
          <w:iCs/>
          <w:sz w:val="26"/>
          <w:szCs w:val="26"/>
        </w:rPr>
        <w:t>obligatio</w:t>
      </w:r>
      <w:proofErr w:type="spellEnd"/>
      <w:r w:rsidR="00573CC0" w:rsidRPr="00573CC0">
        <w:rPr>
          <w:rFonts w:ascii="Times New Roman" w:hAnsi="Times New Roman" w:cs="Times New Roman"/>
          <w:i/>
          <w:iCs/>
          <w:sz w:val="26"/>
          <w:szCs w:val="26"/>
        </w:rPr>
        <w:t xml:space="preserve"> </w:t>
      </w:r>
      <w:proofErr w:type="spellStart"/>
      <w:r w:rsidR="00573CC0" w:rsidRPr="00573CC0">
        <w:rPr>
          <w:rFonts w:ascii="Times New Roman" w:hAnsi="Times New Roman" w:cs="Times New Roman"/>
          <w:i/>
          <w:iCs/>
          <w:sz w:val="26"/>
          <w:szCs w:val="26"/>
        </w:rPr>
        <w:t>est</w:t>
      </w:r>
      <w:proofErr w:type="spellEnd"/>
      <w:r w:rsidR="00573CC0">
        <w:rPr>
          <w:rFonts w:ascii="Times New Roman" w:hAnsi="Times New Roman" w:cs="Times New Roman"/>
          <w:sz w:val="26"/>
          <w:szCs w:val="26"/>
        </w:rPr>
        <w:t xml:space="preserve">: </w:t>
      </w:r>
      <w:r w:rsidR="001C057D" w:rsidRPr="001C057D">
        <w:rPr>
          <w:rFonts w:ascii="Times New Roman" w:hAnsi="Times New Roman" w:cs="Times New Roman"/>
          <w:i/>
          <w:iCs/>
          <w:sz w:val="26"/>
          <w:szCs w:val="26"/>
        </w:rPr>
        <w:t>The impossible is no legal obligation</w:t>
      </w:r>
      <w:r w:rsidR="001C057D">
        <w:rPr>
          <w:rFonts w:ascii="Times New Roman" w:hAnsi="Times New Roman" w:cs="Times New Roman"/>
          <w:sz w:val="26"/>
          <w:szCs w:val="26"/>
        </w:rPr>
        <w:t xml:space="preserve">) </w:t>
      </w:r>
      <w:r w:rsidR="00CF5283">
        <w:rPr>
          <w:rFonts w:ascii="Times New Roman" w:hAnsi="Times New Roman" w:cs="Times New Roman"/>
          <w:sz w:val="26"/>
          <w:szCs w:val="26"/>
        </w:rPr>
        <w:t xml:space="preserve">and I am of the view that in such circumstances, this doctrine is squarely applicable </w:t>
      </w:r>
      <w:r w:rsidR="00BA6F8F">
        <w:rPr>
          <w:rFonts w:ascii="Times New Roman" w:hAnsi="Times New Roman" w:cs="Times New Roman"/>
          <w:sz w:val="26"/>
          <w:szCs w:val="26"/>
        </w:rPr>
        <w:t>even in the realm of income-tax cas</w:t>
      </w:r>
      <w:r w:rsidR="00FE1263">
        <w:rPr>
          <w:rFonts w:ascii="Times New Roman" w:hAnsi="Times New Roman" w:cs="Times New Roman"/>
          <w:sz w:val="26"/>
          <w:szCs w:val="26"/>
        </w:rPr>
        <w:t>e</w:t>
      </w:r>
      <w:r w:rsidR="00BA6F8F">
        <w:rPr>
          <w:rFonts w:ascii="Times New Roman" w:hAnsi="Times New Roman" w:cs="Times New Roman"/>
          <w:sz w:val="26"/>
          <w:szCs w:val="26"/>
        </w:rPr>
        <w:t xml:space="preserve">s </w:t>
      </w:r>
      <w:r w:rsidR="00CF5283">
        <w:rPr>
          <w:rFonts w:ascii="Times New Roman" w:hAnsi="Times New Roman" w:cs="Times New Roman"/>
          <w:sz w:val="26"/>
          <w:szCs w:val="26"/>
        </w:rPr>
        <w:t xml:space="preserve">and on account of </w:t>
      </w:r>
      <w:r w:rsidR="003359DF">
        <w:rPr>
          <w:rFonts w:ascii="Times New Roman" w:hAnsi="Times New Roman" w:cs="Times New Roman"/>
          <w:sz w:val="26"/>
          <w:szCs w:val="26"/>
        </w:rPr>
        <w:t>it being impossible for the Revenue to know whether the person is dead or alive</w:t>
      </w:r>
      <w:r w:rsidR="0060563F">
        <w:rPr>
          <w:rFonts w:ascii="Times New Roman" w:hAnsi="Times New Roman" w:cs="Times New Roman"/>
          <w:sz w:val="26"/>
          <w:szCs w:val="26"/>
        </w:rPr>
        <w:t xml:space="preserve"> and there is always a presumption that the person is alive, the Revenue cannot be faulted for issuing the notice in the name of a deceased person under these circumstances. Thus, one important yardstick </w:t>
      </w:r>
      <w:r w:rsidR="00DD5FC2">
        <w:rPr>
          <w:rFonts w:ascii="Times New Roman" w:hAnsi="Times New Roman" w:cs="Times New Roman"/>
          <w:sz w:val="26"/>
          <w:szCs w:val="26"/>
        </w:rPr>
        <w:t xml:space="preserve">to determine the legality of the notice issued in the name of the deceased </w:t>
      </w:r>
      <w:r w:rsidR="0060563F">
        <w:rPr>
          <w:rFonts w:ascii="Times New Roman" w:hAnsi="Times New Roman" w:cs="Times New Roman"/>
          <w:sz w:val="26"/>
          <w:szCs w:val="26"/>
        </w:rPr>
        <w:t xml:space="preserve">is whether the Revenue has </w:t>
      </w:r>
      <w:r w:rsidR="005E0D84">
        <w:rPr>
          <w:rFonts w:ascii="Times New Roman" w:hAnsi="Times New Roman" w:cs="Times New Roman"/>
          <w:sz w:val="26"/>
          <w:szCs w:val="26"/>
        </w:rPr>
        <w:t>been intimated or not prior to the service of the notice on the assessee</w:t>
      </w:r>
      <w:r w:rsidR="007A2625">
        <w:rPr>
          <w:rFonts w:ascii="Times New Roman" w:hAnsi="Times New Roman" w:cs="Times New Roman"/>
          <w:sz w:val="26"/>
          <w:szCs w:val="26"/>
        </w:rPr>
        <w:t xml:space="preserve"> or his legal representative.</w:t>
      </w:r>
      <w:r w:rsidR="0060563F">
        <w:rPr>
          <w:rFonts w:ascii="Times New Roman" w:hAnsi="Times New Roman" w:cs="Times New Roman"/>
          <w:sz w:val="26"/>
          <w:szCs w:val="26"/>
        </w:rPr>
        <w:t xml:space="preserve"> </w:t>
      </w:r>
    </w:p>
    <w:p w14:paraId="05061F09" w14:textId="77777777" w:rsidR="00567CC8" w:rsidRDefault="00567CC8" w:rsidP="00DB52B0">
      <w:pPr>
        <w:spacing w:after="0" w:line="240" w:lineRule="auto"/>
        <w:ind w:left="720"/>
        <w:jc w:val="both"/>
        <w:rPr>
          <w:rFonts w:ascii="Times New Roman" w:hAnsi="Times New Roman" w:cs="Times New Roman"/>
          <w:sz w:val="26"/>
          <w:szCs w:val="26"/>
        </w:rPr>
      </w:pPr>
    </w:p>
    <w:p w14:paraId="1EBFACE9" w14:textId="0A420688" w:rsidR="00567CC8" w:rsidRPr="00567CC8" w:rsidRDefault="00567CC8" w:rsidP="00567CC8">
      <w:pPr>
        <w:spacing w:after="0" w:line="360" w:lineRule="auto"/>
        <w:ind w:left="720"/>
        <w:jc w:val="center"/>
        <w:rPr>
          <w:rFonts w:ascii="Times New Roman" w:hAnsi="Times New Roman" w:cs="Times New Roman"/>
          <w:b/>
          <w:bCs/>
          <w:sz w:val="26"/>
          <w:szCs w:val="26"/>
        </w:rPr>
      </w:pPr>
      <w:r w:rsidRPr="00567CC8">
        <w:rPr>
          <w:rFonts w:ascii="Times New Roman" w:hAnsi="Times New Roman" w:cs="Times New Roman"/>
          <w:b/>
          <w:bCs/>
          <w:sz w:val="26"/>
          <w:szCs w:val="26"/>
        </w:rPr>
        <w:t>Conclusion</w:t>
      </w:r>
    </w:p>
    <w:p w14:paraId="5568BA85" w14:textId="77777777" w:rsidR="007A2625" w:rsidRDefault="007A2625" w:rsidP="00DB52B0">
      <w:pPr>
        <w:spacing w:after="0" w:line="240" w:lineRule="auto"/>
        <w:ind w:left="720"/>
        <w:jc w:val="both"/>
        <w:rPr>
          <w:rFonts w:ascii="Times New Roman" w:hAnsi="Times New Roman" w:cs="Times New Roman"/>
          <w:sz w:val="26"/>
          <w:szCs w:val="26"/>
        </w:rPr>
      </w:pPr>
    </w:p>
    <w:p w14:paraId="272775FD" w14:textId="5103D135" w:rsidR="00567CC8" w:rsidRPr="008E499D" w:rsidRDefault="00567CC8" w:rsidP="00AB2512">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From the above, it is amply clear that one cannot be expected to carry out the impossible, in fact there are umpteen cases where the Revenue has not been intimated either about the amalgamation of the assessee with another company or the death of an individual. In such circumstances, </w:t>
      </w:r>
      <w:r w:rsidR="008E499D">
        <w:rPr>
          <w:rFonts w:ascii="Times New Roman" w:hAnsi="Times New Roman" w:cs="Times New Roman"/>
          <w:sz w:val="26"/>
          <w:szCs w:val="26"/>
        </w:rPr>
        <w:t xml:space="preserve">the narrow reasoning provided in </w:t>
      </w:r>
      <w:r w:rsidR="008E499D">
        <w:rPr>
          <w:rFonts w:ascii="Times New Roman" w:hAnsi="Times New Roman" w:cs="Times New Roman"/>
          <w:i/>
          <w:iCs/>
          <w:sz w:val="26"/>
          <w:szCs w:val="26"/>
        </w:rPr>
        <w:t xml:space="preserve">Savita Kapila </w:t>
      </w:r>
      <w:r w:rsidR="008E499D">
        <w:rPr>
          <w:rFonts w:ascii="Times New Roman" w:hAnsi="Times New Roman" w:cs="Times New Roman"/>
          <w:sz w:val="26"/>
          <w:szCs w:val="26"/>
        </w:rPr>
        <w:t xml:space="preserve">and </w:t>
      </w:r>
      <w:proofErr w:type="spellStart"/>
      <w:r w:rsidR="008E499D">
        <w:rPr>
          <w:rFonts w:ascii="Times New Roman" w:hAnsi="Times New Roman" w:cs="Times New Roman"/>
          <w:i/>
          <w:iCs/>
          <w:sz w:val="26"/>
          <w:szCs w:val="26"/>
        </w:rPr>
        <w:t>Dharamraj</w:t>
      </w:r>
      <w:proofErr w:type="spellEnd"/>
      <w:r w:rsidR="008E499D">
        <w:rPr>
          <w:rFonts w:ascii="Times New Roman" w:hAnsi="Times New Roman" w:cs="Times New Roman"/>
          <w:i/>
          <w:iCs/>
          <w:sz w:val="26"/>
          <w:szCs w:val="26"/>
        </w:rPr>
        <w:t xml:space="preserve"> </w:t>
      </w:r>
      <w:r w:rsidR="008E499D">
        <w:rPr>
          <w:rFonts w:ascii="Times New Roman" w:hAnsi="Times New Roman" w:cs="Times New Roman"/>
          <w:sz w:val="26"/>
          <w:szCs w:val="26"/>
        </w:rPr>
        <w:t xml:space="preserve">cannot override the legal maxim </w:t>
      </w:r>
      <w:proofErr w:type="spellStart"/>
      <w:r w:rsidR="008E499D" w:rsidRPr="008E499D">
        <w:rPr>
          <w:rFonts w:ascii="Times New Roman" w:hAnsi="Times New Roman" w:cs="Times New Roman"/>
          <w:i/>
          <w:iCs/>
          <w:sz w:val="26"/>
          <w:szCs w:val="26"/>
        </w:rPr>
        <w:t>Impossibilium</w:t>
      </w:r>
      <w:proofErr w:type="spellEnd"/>
      <w:r w:rsidR="008E499D" w:rsidRPr="008E499D">
        <w:rPr>
          <w:rFonts w:ascii="Times New Roman" w:hAnsi="Times New Roman" w:cs="Times New Roman"/>
          <w:i/>
          <w:iCs/>
          <w:sz w:val="26"/>
          <w:szCs w:val="26"/>
        </w:rPr>
        <w:t xml:space="preserve"> </w:t>
      </w:r>
      <w:proofErr w:type="spellStart"/>
      <w:r w:rsidR="008E499D" w:rsidRPr="008E499D">
        <w:rPr>
          <w:rFonts w:ascii="Times New Roman" w:hAnsi="Times New Roman" w:cs="Times New Roman"/>
          <w:i/>
          <w:iCs/>
          <w:sz w:val="26"/>
          <w:szCs w:val="26"/>
        </w:rPr>
        <w:t>nulla</w:t>
      </w:r>
      <w:proofErr w:type="spellEnd"/>
      <w:r w:rsidR="008E499D" w:rsidRPr="008E499D">
        <w:rPr>
          <w:rFonts w:ascii="Times New Roman" w:hAnsi="Times New Roman" w:cs="Times New Roman"/>
          <w:i/>
          <w:iCs/>
          <w:sz w:val="26"/>
          <w:szCs w:val="26"/>
        </w:rPr>
        <w:t xml:space="preserve"> </w:t>
      </w:r>
      <w:proofErr w:type="spellStart"/>
      <w:r w:rsidR="008E499D" w:rsidRPr="008E499D">
        <w:rPr>
          <w:rFonts w:ascii="Times New Roman" w:hAnsi="Times New Roman" w:cs="Times New Roman"/>
          <w:i/>
          <w:iCs/>
          <w:sz w:val="26"/>
          <w:szCs w:val="26"/>
        </w:rPr>
        <w:t>obligatio</w:t>
      </w:r>
      <w:proofErr w:type="spellEnd"/>
      <w:r w:rsidR="008E499D" w:rsidRPr="008E499D">
        <w:rPr>
          <w:rFonts w:ascii="Times New Roman" w:hAnsi="Times New Roman" w:cs="Times New Roman"/>
          <w:i/>
          <w:iCs/>
          <w:sz w:val="26"/>
          <w:szCs w:val="26"/>
        </w:rPr>
        <w:t xml:space="preserve"> </w:t>
      </w:r>
      <w:proofErr w:type="spellStart"/>
      <w:r w:rsidR="008E499D" w:rsidRPr="008E499D">
        <w:rPr>
          <w:rFonts w:ascii="Times New Roman" w:hAnsi="Times New Roman" w:cs="Times New Roman"/>
          <w:i/>
          <w:iCs/>
          <w:sz w:val="26"/>
          <w:szCs w:val="26"/>
        </w:rPr>
        <w:t>est</w:t>
      </w:r>
      <w:proofErr w:type="spellEnd"/>
      <w:r w:rsidR="008E499D">
        <w:rPr>
          <w:rFonts w:ascii="Times New Roman" w:hAnsi="Times New Roman" w:cs="Times New Roman"/>
          <w:i/>
          <w:iCs/>
          <w:sz w:val="26"/>
          <w:szCs w:val="26"/>
        </w:rPr>
        <w:t xml:space="preserve"> </w:t>
      </w:r>
      <w:r w:rsidR="008E499D">
        <w:rPr>
          <w:rFonts w:ascii="Times New Roman" w:hAnsi="Times New Roman" w:cs="Times New Roman"/>
          <w:sz w:val="26"/>
          <w:szCs w:val="26"/>
        </w:rPr>
        <w:t xml:space="preserve">and the </w:t>
      </w:r>
      <w:r w:rsidR="00CA4F34">
        <w:rPr>
          <w:rFonts w:ascii="Times New Roman" w:hAnsi="Times New Roman" w:cs="Times New Roman"/>
          <w:sz w:val="26"/>
          <w:szCs w:val="26"/>
        </w:rPr>
        <w:t>legality must be ascertained from the standpoint of the Revenue only</w:t>
      </w:r>
      <w:r w:rsidR="00FE55B0">
        <w:rPr>
          <w:rFonts w:ascii="Times New Roman" w:hAnsi="Times New Roman" w:cs="Times New Roman"/>
          <w:sz w:val="26"/>
          <w:szCs w:val="26"/>
        </w:rPr>
        <w:t>,</w:t>
      </w:r>
      <w:r w:rsidR="00CA4F34">
        <w:rPr>
          <w:rFonts w:ascii="Times New Roman" w:hAnsi="Times New Roman" w:cs="Times New Roman"/>
          <w:sz w:val="26"/>
          <w:szCs w:val="26"/>
        </w:rPr>
        <w:t xml:space="preserve"> otherwise </w:t>
      </w:r>
      <w:r w:rsidR="00C14B77">
        <w:rPr>
          <w:rFonts w:ascii="Times New Roman" w:hAnsi="Times New Roman" w:cs="Times New Roman"/>
          <w:sz w:val="26"/>
          <w:szCs w:val="26"/>
        </w:rPr>
        <w:t xml:space="preserve">if the </w:t>
      </w:r>
      <w:r w:rsidR="00C14B77" w:rsidRPr="00C14B77">
        <w:rPr>
          <w:rFonts w:ascii="Times New Roman" w:hAnsi="Times New Roman" w:cs="Times New Roman"/>
          <w:i/>
          <w:iCs/>
          <w:sz w:val="26"/>
          <w:szCs w:val="26"/>
        </w:rPr>
        <w:t>ratio decidendi</w:t>
      </w:r>
      <w:r w:rsidR="00FE55B0">
        <w:rPr>
          <w:rFonts w:ascii="Times New Roman" w:hAnsi="Times New Roman" w:cs="Times New Roman"/>
          <w:i/>
          <w:iCs/>
          <w:sz w:val="26"/>
          <w:szCs w:val="26"/>
        </w:rPr>
        <w:t xml:space="preserve"> </w:t>
      </w:r>
      <w:r w:rsidR="00FE55B0">
        <w:rPr>
          <w:rFonts w:ascii="Times New Roman" w:hAnsi="Times New Roman" w:cs="Times New Roman"/>
          <w:sz w:val="26"/>
          <w:szCs w:val="26"/>
        </w:rPr>
        <w:t>of the two judgments</w:t>
      </w:r>
      <w:r w:rsidR="00C14B77">
        <w:rPr>
          <w:rFonts w:ascii="Times New Roman" w:hAnsi="Times New Roman" w:cs="Times New Roman"/>
          <w:sz w:val="26"/>
          <w:szCs w:val="26"/>
        </w:rPr>
        <w:t xml:space="preserve"> is sustain</w:t>
      </w:r>
      <w:r w:rsidR="00FE55B0">
        <w:rPr>
          <w:rFonts w:ascii="Times New Roman" w:hAnsi="Times New Roman" w:cs="Times New Roman"/>
          <w:sz w:val="26"/>
          <w:szCs w:val="26"/>
        </w:rPr>
        <w:t>ed</w:t>
      </w:r>
      <w:r w:rsidR="00C14B77">
        <w:rPr>
          <w:rFonts w:ascii="Times New Roman" w:hAnsi="Times New Roman" w:cs="Times New Roman"/>
          <w:sz w:val="26"/>
          <w:szCs w:val="26"/>
        </w:rPr>
        <w:t>,</w:t>
      </w:r>
      <w:r w:rsidR="00FE55B0">
        <w:rPr>
          <w:rFonts w:ascii="Times New Roman" w:hAnsi="Times New Roman" w:cs="Times New Roman"/>
          <w:sz w:val="26"/>
          <w:szCs w:val="26"/>
        </w:rPr>
        <w:t xml:space="preserve"> </w:t>
      </w:r>
      <w:r w:rsidR="00A74409">
        <w:rPr>
          <w:rFonts w:ascii="Times New Roman" w:hAnsi="Times New Roman" w:cs="Times New Roman"/>
          <w:sz w:val="26"/>
          <w:szCs w:val="26"/>
        </w:rPr>
        <w:t xml:space="preserve">every </w:t>
      </w:r>
      <w:r w:rsidR="00FE55B0">
        <w:rPr>
          <w:rFonts w:ascii="Times New Roman" w:hAnsi="Times New Roman" w:cs="Times New Roman"/>
          <w:sz w:val="26"/>
          <w:szCs w:val="26"/>
        </w:rPr>
        <w:t>notice would be quashed</w:t>
      </w:r>
      <w:r w:rsidR="00A74409">
        <w:rPr>
          <w:rFonts w:ascii="Times New Roman" w:hAnsi="Times New Roman" w:cs="Times New Roman"/>
          <w:sz w:val="26"/>
          <w:szCs w:val="26"/>
        </w:rPr>
        <w:t xml:space="preserve"> since</w:t>
      </w:r>
      <w:r w:rsidR="00C14B77">
        <w:rPr>
          <w:rFonts w:ascii="Times New Roman" w:hAnsi="Times New Roman" w:cs="Times New Roman"/>
          <w:sz w:val="26"/>
          <w:szCs w:val="26"/>
        </w:rPr>
        <w:t xml:space="preserve"> nobody </w:t>
      </w:r>
      <w:r w:rsidR="00CA4F34">
        <w:rPr>
          <w:rFonts w:ascii="Times New Roman" w:hAnsi="Times New Roman" w:cs="Times New Roman"/>
          <w:sz w:val="26"/>
          <w:szCs w:val="26"/>
        </w:rPr>
        <w:lastRenderedPageBreak/>
        <w:t xml:space="preserve">would intimate the Revenue </w:t>
      </w:r>
      <w:r w:rsidR="00C14B77">
        <w:rPr>
          <w:rFonts w:ascii="Times New Roman" w:hAnsi="Times New Roman" w:cs="Times New Roman"/>
          <w:sz w:val="26"/>
          <w:szCs w:val="26"/>
        </w:rPr>
        <w:t xml:space="preserve">at all, </w:t>
      </w:r>
      <w:r w:rsidR="00CA4F34">
        <w:rPr>
          <w:rFonts w:ascii="Times New Roman" w:hAnsi="Times New Roman" w:cs="Times New Roman"/>
          <w:sz w:val="26"/>
          <w:szCs w:val="26"/>
        </w:rPr>
        <w:t xml:space="preserve">and </w:t>
      </w:r>
      <w:r w:rsidR="00C14B77">
        <w:rPr>
          <w:rFonts w:ascii="Times New Roman" w:hAnsi="Times New Roman" w:cs="Times New Roman"/>
          <w:sz w:val="26"/>
          <w:szCs w:val="26"/>
        </w:rPr>
        <w:t xml:space="preserve">the proceedings would be undertaken in the name of the deceased entity </w:t>
      </w:r>
      <w:r w:rsidR="00A74409">
        <w:rPr>
          <w:rFonts w:ascii="Times New Roman" w:hAnsi="Times New Roman" w:cs="Times New Roman"/>
          <w:sz w:val="26"/>
          <w:szCs w:val="26"/>
        </w:rPr>
        <w:t xml:space="preserve">and be liable to be quashed on this ground alone. </w:t>
      </w:r>
      <w:r w:rsidR="005C2875">
        <w:rPr>
          <w:rFonts w:ascii="Times New Roman" w:hAnsi="Times New Roman" w:cs="Times New Roman"/>
          <w:sz w:val="26"/>
          <w:szCs w:val="26"/>
        </w:rPr>
        <w:t>This</w:t>
      </w:r>
      <w:r w:rsidR="00C15AE8">
        <w:rPr>
          <w:rFonts w:ascii="Times New Roman" w:hAnsi="Times New Roman" w:cs="Times New Roman"/>
          <w:sz w:val="26"/>
          <w:szCs w:val="26"/>
        </w:rPr>
        <w:t>,</w:t>
      </w:r>
      <w:r w:rsidR="005C2875">
        <w:rPr>
          <w:rFonts w:ascii="Times New Roman" w:hAnsi="Times New Roman" w:cs="Times New Roman"/>
          <w:sz w:val="26"/>
          <w:szCs w:val="26"/>
        </w:rPr>
        <w:t xml:space="preserve"> in my view</w:t>
      </w:r>
      <w:r w:rsidR="00C15AE8">
        <w:rPr>
          <w:rFonts w:ascii="Times New Roman" w:hAnsi="Times New Roman" w:cs="Times New Roman"/>
          <w:sz w:val="26"/>
          <w:szCs w:val="26"/>
        </w:rPr>
        <w:t>,</w:t>
      </w:r>
      <w:r w:rsidR="005C2875">
        <w:rPr>
          <w:rFonts w:ascii="Times New Roman" w:hAnsi="Times New Roman" w:cs="Times New Roman"/>
          <w:sz w:val="26"/>
          <w:szCs w:val="26"/>
        </w:rPr>
        <w:t xml:space="preserve"> amounts to manifest arbitrariness and a wholesome precedent in this grey area of the law </w:t>
      </w:r>
      <w:r w:rsidR="00C15AE8">
        <w:rPr>
          <w:rFonts w:ascii="Times New Roman" w:hAnsi="Times New Roman" w:cs="Times New Roman"/>
          <w:sz w:val="26"/>
          <w:szCs w:val="26"/>
        </w:rPr>
        <w:t>is desired soon.</w:t>
      </w:r>
      <w:r w:rsidR="00C14B77">
        <w:rPr>
          <w:rFonts w:ascii="Times New Roman" w:hAnsi="Times New Roman" w:cs="Times New Roman"/>
          <w:sz w:val="26"/>
          <w:szCs w:val="26"/>
        </w:rPr>
        <w:t xml:space="preserve"> </w:t>
      </w:r>
    </w:p>
    <w:p w14:paraId="2BFDD772" w14:textId="77777777" w:rsidR="007A2625" w:rsidRDefault="007A2625" w:rsidP="00AB2512">
      <w:pPr>
        <w:spacing w:after="0" w:line="360" w:lineRule="auto"/>
        <w:ind w:left="720"/>
        <w:jc w:val="both"/>
        <w:rPr>
          <w:rFonts w:ascii="Times New Roman" w:hAnsi="Times New Roman" w:cs="Times New Roman"/>
          <w:sz w:val="26"/>
          <w:szCs w:val="26"/>
        </w:rPr>
      </w:pPr>
    </w:p>
    <w:p w14:paraId="7E0EA16F" w14:textId="77777777" w:rsidR="007A2625" w:rsidRDefault="007A2625" w:rsidP="00AB2512">
      <w:pPr>
        <w:spacing w:after="0" w:line="360" w:lineRule="auto"/>
        <w:ind w:left="720"/>
        <w:jc w:val="both"/>
        <w:rPr>
          <w:rFonts w:ascii="Times New Roman" w:hAnsi="Times New Roman" w:cs="Times New Roman"/>
          <w:sz w:val="26"/>
          <w:szCs w:val="26"/>
        </w:rPr>
      </w:pPr>
    </w:p>
    <w:p w14:paraId="036ED61A" w14:textId="77777777" w:rsidR="0035502B" w:rsidRPr="00BB5A80" w:rsidRDefault="0035502B" w:rsidP="00AB2512">
      <w:pPr>
        <w:spacing w:after="0" w:line="360" w:lineRule="auto"/>
        <w:ind w:left="720"/>
        <w:jc w:val="both"/>
        <w:rPr>
          <w:rFonts w:ascii="Times New Roman" w:hAnsi="Times New Roman" w:cs="Times New Roman"/>
          <w:sz w:val="26"/>
          <w:szCs w:val="26"/>
        </w:rPr>
      </w:pPr>
    </w:p>
    <w:p w14:paraId="1E36675D" w14:textId="77777777" w:rsidR="00942DEB" w:rsidRPr="00081E53" w:rsidRDefault="00942DEB" w:rsidP="00942DEB">
      <w:pPr>
        <w:spacing w:after="0" w:line="240" w:lineRule="auto"/>
        <w:rPr>
          <w:rFonts w:ascii="Times New Roman" w:hAnsi="Times New Roman" w:cs="Times New Roman"/>
          <w:sz w:val="26"/>
          <w:szCs w:val="26"/>
        </w:rPr>
      </w:pPr>
    </w:p>
    <w:sectPr w:rsidR="00942DEB" w:rsidRPr="00081E53" w:rsidSect="00A20B51">
      <w:pgSz w:w="12240" w:h="15840"/>
      <w:pgMar w:top="1440" w:right="1440" w:bottom="144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4814" w14:textId="77777777" w:rsidR="002F3F30" w:rsidRDefault="002F3F30" w:rsidP="002F3F30">
      <w:pPr>
        <w:spacing w:after="0" w:line="240" w:lineRule="auto"/>
      </w:pPr>
      <w:r>
        <w:separator/>
      </w:r>
    </w:p>
  </w:endnote>
  <w:endnote w:type="continuationSeparator" w:id="0">
    <w:p w14:paraId="13B4B8CD" w14:textId="77777777" w:rsidR="002F3F30" w:rsidRDefault="002F3F30" w:rsidP="002F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E06CB" w14:textId="77777777" w:rsidR="002F3F30" w:rsidRDefault="002F3F30" w:rsidP="002F3F30">
      <w:pPr>
        <w:spacing w:after="0" w:line="240" w:lineRule="auto"/>
      </w:pPr>
      <w:r>
        <w:separator/>
      </w:r>
    </w:p>
  </w:footnote>
  <w:footnote w:type="continuationSeparator" w:id="0">
    <w:p w14:paraId="7034B59A" w14:textId="77777777" w:rsidR="002F3F30" w:rsidRDefault="002F3F30" w:rsidP="002F3F30">
      <w:pPr>
        <w:spacing w:after="0" w:line="240" w:lineRule="auto"/>
      </w:pPr>
      <w:r>
        <w:continuationSeparator/>
      </w:r>
    </w:p>
  </w:footnote>
  <w:footnote w:id="1">
    <w:p w14:paraId="063EC463" w14:textId="1CFFB424" w:rsidR="002F3F30" w:rsidRDefault="002F3F30">
      <w:pPr>
        <w:pStyle w:val="FootnoteText"/>
      </w:pPr>
      <w:r>
        <w:rPr>
          <w:rStyle w:val="FootnoteReference"/>
        </w:rPr>
        <w:footnoteRef/>
      </w:r>
      <w:r>
        <w:t xml:space="preserve"> </w:t>
      </w:r>
      <w:r>
        <w:rPr>
          <w:rFonts w:ascii="Times New Roman" w:hAnsi="Times New Roman" w:cs="Times New Roman"/>
          <w:sz w:val="26"/>
          <w:szCs w:val="26"/>
        </w:rPr>
        <w:t>I deliberately use the phrase ‘ceased to exist’ which implies that the entity was once fully operational</w:t>
      </w:r>
    </w:p>
  </w:footnote>
  <w:footnote w:id="2">
    <w:p w14:paraId="601C27D7" w14:textId="16ABA236" w:rsidR="0010293D" w:rsidRDefault="0010293D">
      <w:pPr>
        <w:pStyle w:val="FootnoteText"/>
      </w:pPr>
      <w:r>
        <w:rPr>
          <w:rStyle w:val="FootnoteReference"/>
        </w:rPr>
        <w:footnoteRef/>
      </w:r>
      <w:r>
        <w:t xml:space="preserve"> </w:t>
      </w:r>
      <w:r w:rsidR="00081E53" w:rsidRPr="00081E53">
        <w:t>[2019] 107 taxmann.com 375 (SC)</w:t>
      </w:r>
    </w:p>
  </w:footnote>
  <w:footnote w:id="3">
    <w:p w14:paraId="5C54975C" w14:textId="6FACBAF3" w:rsidR="0011473D" w:rsidRDefault="0011473D">
      <w:pPr>
        <w:pStyle w:val="FootnoteText"/>
      </w:pPr>
      <w:r>
        <w:rPr>
          <w:rStyle w:val="FootnoteReference"/>
        </w:rPr>
        <w:footnoteRef/>
      </w:r>
      <w:r>
        <w:t xml:space="preserve"> </w:t>
      </w:r>
      <w:r w:rsidRPr="0011473D">
        <w:t>[1943] 11 ITR 202 (Bom.)</w:t>
      </w:r>
    </w:p>
  </w:footnote>
  <w:footnote w:id="4">
    <w:p w14:paraId="0D070569" w14:textId="22411D06" w:rsidR="00C5127D" w:rsidRDefault="00C5127D">
      <w:pPr>
        <w:pStyle w:val="FootnoteText"/>
      </w:pPr>
      <w:r>
        <w:rPr>
          <w:rStyle w:val="FootnoteReference"/>
        </w:rPr>
        <w:footnoteRef/>
      </w:r>
      <w:r>
        <w:t xml:space="preserve"> </w:t>
      </w:r>
      <w:r w:rsidRPr="00C5127D">
        <w:t>[2022] 441 ITR 462 (Del)</w:t>
      </w:r>
    </w:p>
  </w:footnote>
  <w:footnote w:id="5">
    <w:p w14:paraId="22AE5737" w14:textId="57921767" w:rsidR="00D06DC5" w:rsidRDefault="00D06DC5">
      <w:pPr>
        <w:pStyle w:val="FootnoteText"/>
      </w:pPr>
      <w:r>
        <w:rPr>
          <w:rStyle w:val="FootnoteReference"/>
        </w:rPr>
        <w:footnoteRef/>
      </w:r>
      <w:r>
        <w:t xml:space="preserve"> </w:t>
      </w:r>
      <w:r w:rsidRPr="00D06DC5">
        <w:t>[2020] 426 ITR 502 (Delhi)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40697"/>
    <w:multiLevelType w:val="hybridMultilevel"/>
    <w:tmpl w:val="746E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45AC3"/>
    <w:multiLevelType w:val="hybridMultilevel"/>
    <w:tmpl w:val="BB04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552715">
    <w:abstractNumId w:val="0"/>
  </w:num>
  <w:num w:numId="2" w16cid:durableId="44631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A8"/>
    <w:rsid w:val="0003122F"/>
    <w:rsid w:val="00052312"/>
    <w:rsid w:val="000641CF"/>
    <w:rsid w:val="000763E5"/>
    <w:rsid w:val="00081E53"/>
    <w:rsid w:val="0009482E"/>
    <w:rsid w:val="000B3D90"/>
    <w:rsid w:val="0010293D"/>
    <w:rsid w:val="0011473D"/>
    <w:rsid w:val="001927A8"/>
    <w:rsid w:val="001C057D"/>
    <w:rsid w:val="001D0F7C"/>
    <w:rsid w:val="00233EC8"/>
    <w:rsid w:val="00241ADD"/>
    <w:rsid w:val="002A78B4"/>
    <w:rsid w:val="002B205D"/>
    <w:rsid w:val="002C7356"/>
    <w:rsid w:val="002E39E9"/>
    <w:rsid w:val="002F3F30"/>
    <w:rsid w:val="00314487"/>
    <w:rsid w:val="0032506A"/>
    <w:rsid w:val="003359DF"/>
    <w:rsid w:val="0035502B"/>
    <w:rsid w:val="00393709"/>
    <w:rsid w:val="003B0665"/>
    <w:rsid w:val="003F42C6"/>
    <w:rsid w:val="004063F0"/>
    <w:rsid w:val="00431A64"/>
    <w:rsid w:val="004E6D69"/>
    <w:rsid w:val="0053096B"/>
    <w:rsid w:val="005650C6"/>
    <w:rsid w:val="00567CC8"/>
    <w:rsid w:val="00573CC0"/>
    <w:rsid w:val="005C2875"/>
    <w:rsid w:val="005C34C1"/>
    <w:rsid w:val="005E0D84"/>
    <w:rsid w:val="005E3B46"/>
    <w:rsid w:val="00600EDF"/>
    <w:rsid w:val="0060563F"/>
    <w:rsid w:val="00617FCB"/>
    <w:rsid w:val="00673264"/>
    <w:rsid w:val="0068670B"/>
    <w:rsid w:val="00730790"/>
    <w:rsid w:val="007A2625"/>
    <w:rsid w:val="008270F1"/>
    <w:rsid w:val="00855CA5"/>
    <w:rsid w:val="00884528"/>
    <w:rsid w:val="008D3B8F"/>
    <w:rsid w:val="008E307F"/>
    <w:rsid w:val="008E437B"/>
    <w:rsid w:val="008E499D"/>
    <w:rsid w:val="00942DEB"/>
    <w:rsid w:val="009A3953"/>
    <w:rsid w:val="009E13BD"/>
    <w:rsid w:val="009E578B"/>
    <w:rsid w:val="00A20B51"/>
    <w:rsid w:val="00A62941"/>
    <w:rsid w:val="00A74409"/>
    <w:rsid w:val="00A93333"/>
    <w:rsid w:val="00AB2512"/>
    <w:rsid w:val="00AB67D5"/>
    <w:rsid w:val="00BA052D"/>
    <w:rsid w:val="00BA6F8F"/>
    <w:rsid w:val="00BB5A80"/>
    <w:rsid w:val="00BD283B"/>
    <w:rsid w:val="00BF7414"/>
    <w:rsid w:val="00C14B77"/>
    <w:rsid w:val="00C15AE8"/>
    <w:rsid w:val="00C5083B"/>
    <w:rsid w:val="00C5127D"/>
    <w:rsid w:val="00C75AD5"/>
    <w:rsid w:val="00C77DE1"/>
    <w:rsid w:val="00CA4F34"/>
    <w:rsid w:val="00CC204F"/>
    <w:rsid w:val="00CC3FE1"/>
    <w:rsid w:val="00CF0462"/>
    <w:rsid w:val="00CF5283"/>
    <w:rsid w:val="00D06DC5"/>
    <w:rsid w:val="00D402F5"/>
    <w:rsid w:val="00D84E67"/>
    <w:rsid w:val="00DB52B0"/>
    <w:rsid w:val="00DD5FC2"/>
    <w:rsid w:val="00E07059"/>
    <w:rsid w:val="00E26204"/>
    <w:rsid w:val="00E5578E"/>
    <w:rsid w:val="00E706DF"/>
    <w:rsid w:val="00E72D7D"/>
    <w:rsid w:val="00E854D8"/>
    <w:rsid w:val="00EA236D"/>
    <w:rsid w:val="00EF3D0F"/>
    <w:rsid w:val="00EF5E4B"/>
    <w:rsid w:val="00F433E1"/>
    <w:rsid w:val="00F4549C"/>
    <w:rsid w:val="00F574DC"/>
    <w:rsid w:val="00FE1263"/>
    <w:rsid w:val="00FE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C848"/>
  <w15:chartTrackingRefBased/>
  <w15:docId w15:val="{63155E61-4AF5-4665-8B44-6F2651D9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3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F30"/>
    <w:rPr>
      <w:sz w:val="20"/>
      <w:szCs w:val="20"/>
    </w:rPr>
  </w:style>
  <w:style w:type="character" w:styleId="FootnoteReference">
    <w:name w:val="footnote reference"/>
    <w:basedOn w:val="DefaultParagraphFont"/>
    <w:uiPriority w:val="99"/>
    <w:semiHidden/>
    <w:unhideWhenUsed/>
    <w:rsid w:val="002F3F30"/>
    <w:rPr>
      <w:vertAlign w:val="superscript"/>
    </w:rPr>
  </w:style>
  <w:style w:type="paragraph" w:styleId="ListParagraph">
    <w:name w:val="List Paragraph"/>
    <w:basedOn w:val="Normal"/>
    <w:uiPriority w:val="34"/>
    <w:qFormat/>
    <w:rsid w:val="00233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9F7B-524B-4861-AA73-6D79423F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GUPTA</dc:creator>
  <cp:keywords/>
  <dc:description/>
  <cp:lastModifiedBy>ARJUN GUPTA</cp:lastModifiedBy>
  <cp:revision>93</cp:revision>
  <dcterms:created xsi:type="dcterms:W3CDTF">2024-12-06T15:19:00Z</dcterms:created>
  <dcterms:modified xsi:type="dcterms:W3CDTF">2024-12-06T17:26:00Z</dcterms:modified>
</cp:coreProperties>
</file>